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D129BC" w:rsidRPr="00D129BC" w:rsidTr="00D129BC">
        <w:trPr>
          <w:jc w:val="center"/>
        </w:trPr>
        <w:tc>
          <w:tcPr>
            <w:tcW w:w="9104" w:type="dxa"/>
            <w:hideMark/>
          </w:tcPr>
          <w:tbl>
            <w:tblPr>
              <w:tblW w:w="8789" w:type="dxa"/>
              <w:jc w:val="center"/>
              <w:tblLook w:val="01E0"/>
            </w:tblPr>
            <w:tblGrid>
              <w:gridCol w:w="2931"/>
              <w:gridCol w:w="2931"/>
              <w:gridCol w:w="2927"/>
            </w:tblGrid>
            <w:tr w:rsidR="00D129BC" w:rsidRPr="00D129BC">
              <w:trPr>
                <w:trHeight w:val="317"/>
                <w:jc w:val="center"/>
              </w:trPr>
              <w:tc>
                <w:tcPr>
                  <w:tcW w:w="2931" w:type="dxa"/>
                  <w:tcBorders>
                    <w:top w:val="nil"/>
                    <w:left w:val="nil"/>
                    <w:bottom w:val="single" w:sz="4" w:space="0" w:color="660066"/>
                    <w:right w:val="nil"/>
                  </w:tcBorders>
                  <w:vAlign w:val="center"/>
                  <w:hideMark/>
                </w:tcPr>
                <w:p w:rsidR="00D129BC" w:rsidRPr="00D129BC" w:rsidRDefault="00D129BC" w:rsidP="00D129BC">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D129BC">
                    <w:rPr>
                      <w:rFonts w:ascii="Arial" w:eastAsia="Times New Roman" w:hAnsi="Arial" w:cs="Arial"/>
                      <w:sz w:val="16"/>
                      <w:szCs w:val="16"/>
                      <w:lang w:eastAsia="tr-TR"/>
                    </w:rPr>
                    <w:t>6 Şubat 2016 CUMARTESİ</w:t>
                  </w:r>
                </w:p>
              </w:tc>
              <w:tc>
                <w:tcPr>
                  <w:tcW w:w="2931" w:type="dxa"/>
                  <w:tcBorders>
                    <w:top w:val="nil"/>
                    <w:left w:val="nil"/>
                    <w:bottom w:val="single" w:sz="4" w:space="0" w:color="660066"/>
                    <w:right w:val="nil"/>
                  </w:tcBorders>
                  <w:vAlign w:val="center"/>
                  <w:hideMark/>
                </w:tcPr>
                <w:p w:rsidR="00D129BC" w:rsidRPr="00D129BC" w:rsidRDefault="00D129BC" w:rsidP="00D129BC">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D129BC">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D129BC" w:rsidRPr="00D129BC" w:rsidRDefault="00D129BC" w:rsidP="00D129BC">
                  <w:pPr>
                    <w:spacing w:before="100" w:beforeAutospacing="1" w:after="100" w:afterAutospacing="1" w:line="240" w:lineRule="auto"/>
                    <w:jc w:val="right"/>
                    <w:rPr>
                      <w:rFonts w:ascii="Arial" w:eastAsia="Times New Roman" w:hAnsi="Arial" w:cs="Arial"/>
                      <w:sz w:val="16"/>
                      <w:szCs w:val="16"/>
                      <w:lang w:eastAsia="tr-TR"/>
                    </w:rPr>
                  </w:pPr>
                  <w:proofErr w:type="gramStart"/>
                  <w:r w:rsidRPr="00D129BC">
                    <w:rPr>
                      <w:rFonts w:ascii="Arial" w:eastAsia="Times New Roman" w:hAnsi="Arial" w:cs="Arial"/>
                      <w:sz w:val="16"/>
                      <w:szCs w:val="16"/>
                      <w:lang w:eastAsia="tr-TR"/>
                    </w:rPr>
                    <w:t>Sayı : 29616</w:t>
                  </w:r>
                  <w:proofErr w:type="gramEnd"/>
                </w:p>
              </w:tc>
            </w:tr>
            <w:tr w:rsidR="00D129BC" w:rsidRPr="00D129BC">
              <w:trPr>
                <w:trHeight w:val="480"/>
                <w:jc w:val="center"/>
              </w:trPr>
              <w:tc>
                <w:tcPr>
                  <w:tcW w:w="8789" w:type="dxa"/>
                  <w:gridSpan w:val="3"/>
                  <w:vAlign w:val="center"/>
                  <w:hideMark/>
                </w:tcPr>
                <w:p w:rsidR="00D129BC" w:rsidRPr="00D129BC" w:rsidRDefault="00D129BC" w:rsidP="00D129BC">
                  <w:pPr>
                    <w:spacing w:before="100" w:beforeAutospacing="1" w:after="100" w:afterAutospacing="1" w:line="240" w:lineRule="auto"/>
                    <w:jc w:val="center"/>
                    <w:rPr>
                      <w:rFonts w:ascii="Arial" w:eastAsia="Times New Roman" w:hAnsi="Arial" w:cs="Arial"/>
                      <w:b/>
                      <w:color w:val="000080"/>
                      <w:sz w:val="18"/>
                      <w:szCs w:val="18"/>
                      <w:lang w:eastAsia="tr-TR"/>
                    </w:rPr>
                  </w:pPr>
                  <w:r w:rsidRPr="00D129BC">
                    <w:rPr>
                      <w:rFonts w:ascii="Arial" w:eastAsia="Times New Roman" w:hAnsi="Arial" w:cs="Arial"/>
                      <w:b/>
                      <w:color w:val="000080"/>
                      <w:sz w:val="18"/>
                      <w:szCs w:val="18"/>
                      <w:lang w:eastAsia="tr-TR"/>
                    </w:rPr>
                    <w:t>TEBLİĞ</w:t>
                  </w:r>
                </w:p>
              </w:tc>
            </w:tr>
            <w:tr w:rsidR="00D129BC" w:rsidRPr="00D129BC">
              <w:trPr>
                <w:trHeight w:val="480"/>
                <w:jc w:val="center"/>
              </w:trPr>
              <w:tc>
                <w:tcPr>
                  <w:tcW w:w="8789" w:type="dxa"/>
                  <w:gridSpan w:val="3"/>
                  <w:vAlign w:val="center"/>
                </w:tcPr>
                <w:p w:rsidR="00D129BC" w:rsidRPr="00D129BC" w:rsidRDefault="00D129BC" w:rsidP="00D129BC">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D129BC">
                    <w:rPr>
                      <w:rFonts w:ascii="Times New Roman" w:eastAsia="Times New Roman" w:hAnsi="Times New Roman" w:cs="Times New Roman"/>
                      <w:sz w:val="18"/>
                      <w:szCs w:val="18"/>
                      <w:u w:val="single"/>
                      <w:lang w:eastAsia="tr-TR"/>
                    </w:rPr>
                    <w:t>Maliye Bakanlığı (Gelir İdaresi Başkanlığı)’</w:t>
                  </w:r>
                  <w:proofErr w:type="spellStart"/>
                  <w:r w:rsidRPr="00D129BC">
                    <w:rPr>
                      <w:rFonts w:ascii="Times New Roman" w:eastAsia="Times New Roman" w:hAnsi="Times New Roman" w:cs="Times New Roman"/>
                      <w:sz w:val="18"/>
                      <w:szCs w:val="18"/>
                      <w:u w:val="single"/>
                      <w:lang w:eastAsia="tr-TR"/>
                    </w:rPr>
                    <w:t>ndan</w:t>
                  </w:r>
                  <w:proofErr w:type="spellEnd"/>
                  <w:r w:rsidRPr="00D129BC">
                    <w:rPr>
                      <w:rFonts w:ascii="Times New Roman" w:eastAsia="Times New Roman" w:hAnsi="Times New Roman" w:cs="Times New Roman"/>
                      <w:sz w:val="18"/>
                      <w:szCs w:val="18"/>
                      <w:u w:val="single"/>
                      <w:lang w:eastAsia="tr-TR"/>
                    </w:rPr>
                    <w:t>:</w:t>
                  </w:r>
                </w:p>
                <w:p w:rsidR="00D129BC" w:rsidRPr="00D129BC" w:rsidRDefault="00D129BC" w:rsidP="00D129BC">
                  <w:pPr>
                    <w:tabs>
                      <w:tab w:val="left" w:pos="566"/>
                    </w:tabs>
                    <w:spacing w:after="0" w:line="240" w:lineRule="exact"/>
                    <w:jc w:val="center"/>
                    <w:rPr>
                      <w:rFonts w:ascii="Times New Roman" w:eastAsia="Times New Roman" w:hAnsi="Times New Roman" w:cs="Times New Roman"/>
                      <w:b/>
                      <w:sz w:val="18"/>
                      <w:szCs w:val="18"/>
                      <w:lang w:eastAsia="tr-TR"/>
                    </w:rPr>
                  </w:pPr>
                  <w:r w:rsidRPr="00D129BC">
                    <w:rPr>
                      <w:rFonts w:ascii="Times New Roman" w:eastAsia="Times New Roman" w:hAnsi="Times New Roman" w:cs="Times New Roman"/>
                      <w:b/>
                      <w:sz w:val="18"/>
                      <w:szCs w:val="18"/>
                      <w:lang w:eastAsia="tr-TR"/>
                    </w:rPr>
                    <w:t>VERGİ USUL KANUNU GENEL TEBLİĞİ</w:t>
                  </w:r>
                </w:p>
                <w:p w:rsidR="00D129BC" w:rsidRPr="00D129BC" w:rsidRDefault="00D129BC" w:rsidP="00D129BC">
                  <w:pPr>
                    <w:tabs>
                      <w:tab w:val="left" w:pos="566"/>
                    </w:tabs>
                    <w:spacing w:after="0" w:line="240" w:lineRule="exact"/>
                    <w:jc w:val="center"/>
                    <w:rPr>
                      <w:rFonts w:ascii="Times New Roman" w:eastAsia="Times New Roman" w:hAnsi="Times New Roman" w:cs="Times New Roman"/>
                      <w:b/>
                      <w:sz w:val="18"/>
                      <w:szCs w:val="18"/>
                      <w:lang w:eastAsia="tr-TR"/>
                    </w:rPr>
                  </w:pPr>
                  <w:r w:rsidRPr="00D129BC">
                    <w:rPr>
                      <w:rFonts w:ascii="Times New Roman" w:eastAsia="Times New Roman" w:hAnsi="Times New Roman" w:cs="Times New Roman"/>
                      <w:b/>
                      <w:sz w:val="18"/>
                      <w:szCs w:val="18"/>
                      <w:lang w:eastAsia="tr-TR"/>
                    </w:rPr>
                    <w:t>(SIRA NO: 468)</w:t>
                  </w:r>
                </w:p>
                <w:p w:rsidR="00D129BC" w:rsidRPr="00D129BC" w:rsidRDefault="00D129BC" w:rsidP="00D129BC">
                  <w:pPr>
                    <w:spacing w:before="100" w:beforeAutospacing="1" w:after="100" w:afterAutospacing="1" w:line="240" w:lineRule="exact"/>
                    <w:rPr>
                      <w:rFonts w:ascii="Times New Roman" w:eastAsia="Times New Roman" w:hAnsi="Times New Roman" w:cs="Times New Roman"/>
                      <w:b/>
                      <w:sz w:val="18"/>
                      <w:szCs w:val="18"/>
                      <w:lang w:eastAsia="tr-TR"/>
                    </w:rPr>
                  </w:pPr>
                  <w:r w:rsidRPr="00D129BC">
                    <w:rPr>
                      <w:rFonts w:ascii="Times New Roman" w:eastAsia="Times New Roman" w:hAnsi="Times New Roman" w:cs="Times New Roman"/>
                      <w:b/>
                      <w:sz w:val="18"/>
                      <w:szCs w:val="18"/>
                      <w:lang w:eastAsia="tr-TR"/>
                    </w:rPr>
                    <w:t>Amaç ve kapsam</w:t>
                  </w:r>
                </w:p>
                <w:p w:rsidR="00D129BC" w:rsidRPr="00D129BC" w:rsidRDefault="00D129BC" w:rsidP="00D129BC">
                  <w:pPr>
                    <w:spacing w:before="100" w:beforeAutospacing="1" w:after="100" w:afterAutospacing="1" w:line="240" w:lineRule="exact"/>
                    <w:rPr>
                      <w:rFonts w:ascii="Times New Roman" w:eastAsia="Times New Roman" w:hAnsi="Times New Roman" w:cs="Times New Roman"/>
                      <w:sz w:val="18"/>
                      <w:szCs w:val="18"/>
                      <w:lang w:eastAsia="tr-TR"/>
                    </w:rPr>
                  </w:pPr>
                  <w:r w:rsidRPr="00D129BC">
                    <w:rPr>
                      <w:rFonts w:ascii="Times New Roman" w:eastAsia="Times New Roman" w:hAnsi="Times New Roman" w:cs="Times New Roman"/>
                      <w:b/>
                      <w:sz w:val="18"/>
                      <w:szCs w:val="18"/>
                      <w:lang w:eastAsia="tr-TR"/>
                    </w:rPr>
                    <w:t>MADDE 1 –</w:t>
                  </w:r>
                  <w:r w:rsidRPr="00D129BC">
                    <w:rPr>
                      <w:rFonts w:ascii="Times New Roman" w:eastAsia="Times New Roman" w:hAnsi="Times New Roman" w:cs="Times New Roman"/>
                      <w:sz w:val="18"/>
                      <w:szCs w:val="18"/>
                      <w:lang w:eastAsia="tr-TR"/>
                    </w:rPr>
                    <w:t xml:space="preserve"> (1) Bu Tebliğin amacı, borsada rayici olmayan yabancı paraların, </w:t>
                  </w:r>
                  <w:proofErr w:type="gramStart"/>
                  <w:r w:rsidRPr="00D129BC">
                    <w:rPr>
                      <w:rFonts w:ascii="Times New Roman" w:eastAsia="Times New Roman" w:hAnsi="Times New Roman" w:cs="Times New Roman"/>
                      <w:sz w:val="18"/>
                      <w:szCs w:val="18"/>
                      <w:lang w:eastAsia="tr-TR"/>
                    </w:rPr>
                    <w:t>4/1/1961</w:t>
                  </w:r>
                  <w:proofErr w:type="gramEnd"/>
                  <w:r w:rsidRPr="00D129BC">
                    <w:rPr>
                      <w:rFonts w:ascii="Times New Roman" w:eastAsia="Times New Roman" w:hAnsi="Times New Roman" w:cs="Times New Roman"/>
                      <w:sz w:val="18"/>
                      <w:szCs w:val="18"/>
                      <w:lang w:eastAsia="tr-TR"/>
                    </w:rPr>
                    <w:t xml:space="preserve"> tarihli ve 213 sayılı Vergi Usul Kanunu gereğince 2015 yılı için yapılacak değerlemelerine esas oluşturacak kurların tespit edilmesidir.</w:t>
                  </w:r>
                </w:p>
                <w:p w:rsidR="00D129BC" w:rsidRPr="00D129BC" w:rsidRDefault="00D129BC" w:rsidP="00D129BC">
                  <w:pPr>
                    <w:spacing w:before="100" w:beforeAutospacing="1" w:after="100" w:afterAutospacing="1" w:line="240" w:lineRule="exact"/>
                    <w:rPr>
                      <w:rFonts w:ascii="Times New Roman" w:eastAsia="Times New Roman" w:hAnsi="Times New Roman" w:cs="Times New Roman"/>
                      <w:b/>
                      <w:sz w:val="18"/>
                      <w:szCs w:val="18"/>
                      <w:lang w:eastAsia="tr-TR"/>
                    </w:rPr>
                  </w:pPr>
                  <w:r w:rsidRPr="00D129BC">
                    <w:rPr>
                      <w:rFonts w:ascii="Times New Roman" w:eastAsia="Times New Roman" w:hAnsi="Times New Roman" w:cs="Times New Roman"/>
                      <w:b/>
                      <w:sz w:val="18"/>
                      <w:szCs w:val="18"/>
                      <w:lang w:eastAsia="tr-TR"/>
                    </w:rPr>
                    <w:t>Dayanak</w:t>
                  </w:r>
                </w:p>
                <w:p w:rsidR="00D129BC" w:rsidRPr="00D129BC" w:rsidRDefault="00D129BC" w:rsidP="00D129BC">
                  <w:pPr>
                    <w:spacing w:before="100" w:beforeAutospacing="1" w:after="100" w:afterAutospacing="1" w:line="240" w:lineRule="exact"/>
                    <w:rPr>
                      <w:rFonts w:ascii="Times New Roman" w:eastAsia="Times New Roman" w:hAnsi="Times New Roman" w:cs="Times New Roman"/>
                      <w:sz w:val="18"/>
                      <w:szCs w:val="18"/>
                      <w:lang w:eastAsia="tr-TR"/>
                    </w:rPr>
                  </w:pPr>
                  <w:r w:rsidRPr="00D129BC">
                    <w:rPr>
                      <w:rFonts w:ascii="Times New Roman" w:eastAsia="Times New Roman" w:hAnsi="Times New Roman" w:cs="Times New Roman"/>
                      <w:b/>
                      <w:sz w:val="18"/>
                      <w:szCs w:val="18"/>
                      <w:lang w:eastAsia="tr-TR"/>
                    </w:rPr>
                    <w:t>MADDE 2 –</w:t>
                  </w:r>
                  <w:r w:rsidRPr="00D129BC">
                    <w:rPr>
                      <w:rFonts w:ascii="Times New Roman" w:eastAsia="Times New Roman" w:hAnsi="Times New Roman" w:cs="Times New Roman"/>
                      <w:sz w:val="18"/>
                      <w:szCs w:val="18"/>
                      <w:lang w:eastAsia="tr-TR"/>
                    </w:rPr>
                    <w:t xml:space="preserve"> (1) Bu Tebliğ, Vergi Usul Kanununun 280 inci maddesinin ikinci ve üçüncü fıkralarına dayanılarak hazırlanmıştır.</w:t>
                  </w:r>
                </w:p>
                <w:p w:rsidR="00D129BC" w:rsidRPr="00D129BC" w:rsidRDefault="00D129BC" w:rsidP="00D129BC">
                  <w:pPr>
                    <w:spacing w:before="100" w:beforeAutospacing="1" w:after="100" w:afterAutospacing="1" w:line="240" w:lineRule="exact"/>
                    <w:rPr>
                      <w:rFonts w:ascii="Times New Roman" w:eastAsia="Times New Roman" w:hAnsi="Times New Roman" w:cs="Times New Roman"/>
                      <w:b/>
                      <w:sz w:val="18"/>
                      <w:szCs w:val="18"/>
                      <w:lang w:eastAsia="tr-TR"/>
                    </w:rPr>
                  </w:pPr>
                  <w:r w:rsidRPr="00D129BC">
                    <w:rPr>
                      <w:rFonts w:ascii="Times New Roman" w:eastAsia="Times New Roman" w:hAnsi="Times New Roman" w:cs="Times New Roman"/>
                      <w:b/>
                      <w:sz w:val="18"/>
                      <w:szCs w:val="18"/>
                      <w:lang w:eastAsia="tr-TR"/>
                    </w:rPr>
                    <w:t>Esas alınacak kurlar</w:t>
                  </w:r>
                </w:p>
                <w:p w:rsidR="00D129BC" w:rsidRPr="00D129BC" w:rsidRDefault="00D129BC" w:rsidP="00D129BC">
                  <w:pPr>
                    <w:spacing w:before="100" w:beforeAutospacing="1" w:after="100" w:afterAutospacing="1" w:line="240" w:lineRule="exact"/>
                    <w:rPr>
                      <w:rFonts w:ascii="Times New Roman" w:eastAsia="Times New Roman" w:hAnsi="Times New Roman" w:cs="Times New Roman"/>
                      <w:sz w:val="18"/>
                      <w:szCs w:val="18"/>
                      <w:lang w:eastAsia="tr-TR"/>
                    </w:rPr>
                  </w:pPr>
                  <w:r w:rsidRPr="00D129BC">
                    <w:rPr>
                      <w:rFonts w:ascii="Times New Roman" w:eastAsia="Times New Roman" w:hAnsi="Times New Roman" w:cs="Times New Roman"/>
                      <w:b/>
                      <w:sz w:val="18"/>
                      <w:szCs w:val="18"/>
                      <w:lang w:eastAsia="tr-TR"/>
                    </w:rPr>
                    <w:t>MADDE 3 –</w:t>
                  </w:r>
                  <w:r w:rsidRPr="00D129BC">
                    <w:rPr>
                      <w:rFonts w:ascii="Times New Roman" w:eastAsia="Times New Roman" w:hAnsi="Times New Roman" w:cs="Times New Roman"/>
                      <w:sz w:val="18"/>
                      <w:szCs w:val="18"/>
                      <w:lang w:eastAsia="tr-TR"/>
                    </w:rPr>
                    <w:t xml:space="preserve"> (1) Borsada rayici olmayan yabancı paraların ve bu paralarla olan senetli ve senetsiz alacak ve borçların değerlemesinde 2015 yılı sonu itibarıyla bu Tebliğ ekinde yer alan listede gösterilen kurlar uygulanır.</w:t>
                  </w:r>
                </w:p>
                <w:p w:rsidR="00D129BC" w:rsidRPr="00D129BC" w:rsidRDefault="00D129BC" w:rsidP="00D129BC">
                  <w:pPr>
                    <w:spacing w:before="100" w:beforeAutospacing="1" w:after="100" w:afterAutospacing="1" w:line="240" w:lineRule="exact"/>
                    <w:rPr>
                      <w:rFonts w:ascii="Times New Roman" w:eastAsia="Times New Roman" w:hAnsi="Times New Roman" w:cs="Times New Roman"/>
                      <w:b/>
                      <w:sz w:val="18"/>
                      <w:szCs w:val="18"/>
                      <w:lang w:eastAsia="tr-TR"/>
                    </w:rPr>
                  </w:pPr>
                  <w:r w:rsidRPr="00D129BC">
                    <w:rPr>
                      <w:rFonts w:ascii="Times New Roman" w:eastAsia="Times New Roman" w:hAnsi="Times New Roman" w:cs="Times New Roman"/>
                      <w:b/>
                      <w:sz w:val="18"/>
                      <w:szCs w:val="18"/>
                      <w:lang w:eastAsia="tr-TR"/>
                    </w:rPr>
                    <w:t>Değerleme günü itibarıyla kurların ilan edilmemesi</w:t>
                  </w:r>
                </w:p>
                <w:p w:rsidR="00D129BC" w:rsidRPr="00D129BC" w:rsidRDefault="00D129BC" w:rsidP="00D129BC">
                  <w:pPr>
                    <w:spacing w:before="100" w:beforeAutospacing="1" w:after="100" w:afterAutospacing="1" w:line="240" w:lineRule="exact"/>
                    <w:rPr>
                      <w:rFonts w:ascii="Times New Roman" w:eastAsia="Times New Roman" w:hAnsi="Times New Roman" w:cs="Times New Roman"/>
                      <w:sz w:val="18"/>
                      <w:szCs w:val="18"/>
                      <w:lang w:eastAsia="tr-TR"/>
                    </w:rPr>
                  </w:pPr>
                  <w:r w:rsidRPr="00D129BC">
                    <w:rPr>
                      <w:rFonts w:ascii="Times New Roman" w:eastAsia="Times New Roman" w:hAnsi="Times New Roman" w:cs="Times New Roman"/>
                      <w:b/>
                      <w:sz w:val="18"/>
                      <w:szCs w:val="18"/>
                      <w:lang w:eastAsia="tr-TR"/>
                    </w:rPr>
                    <w:t xml:space="preserve">MADDE 4 – </w:t>
                  </w:r>
                  <w:r w:rsidRPr="00D129BC">
                    <w:rPr>
                      <w:rFonts w:ascii="Times New Roman" w:eastAsia="Times New Roman" w:hAnsi="Times New Roman" w:cs="Times New Roman"/>
                      <w:sz w:val="18"/>
                      <w:szCs w:val="18"/>
                      <w:lang w:eastAsia="tr-TR"/>
                    </w:rPr>
                    <w:t xml:space="preserve">(1) </w:t>
                  </w:r>
                  <w:proofErr w:type="gramStart"/>
                  <w:r w:rsidRPr="00D129BC">
                    <w:rPr>
                      <w:rFonts w:ascii="Times New Roman" w:eastAsia="Times New Roman" w:hAnsi="Times New Roman" w:cs="Times New Roman"/>
                      <w:sz w:val="18"/>
                      <w:szCs w:val="18"/>
                      <w:lang w:eastAsia="tr-TR"/>
                    </w:rPr>
                    <w:t>20/4/1976</w:t>
                  </w:r>
                  <w:proofErr w:type="gramEnd"/>
                  <w:r w:rsidRPr="00D129BC">
                    <w:rPr>
                      <w:rFonts w:ascii="Times New Roman" w:eastAsia="Times New Roman" w:hAnsi="Times New Roman" w:cs="Times New Roman"/>
                      <w:sz w:val="18"/>
                      <w:szCs w:val="18"/>
                      <w:lang w:eastAsia="tr-TR"/>
                    </w:rPr>
                    <w:t xml:space="preserve"> tarihli ve 15565 sayılı Resmî Gazete’de yayımlanan 130 sıra numaralı Vergi Usul Kanunu Genel Tebliğinde ve 27/12/1998 tarihli ve 23566 sayılı Resmî Gazete’de yayımlanan 217 seri numaralı Gelir Vergisi Genel Tebliğinde belirtilen hükümler gereğince değerleme günü itibarıyla Maliye Bakanlığınca kurların ilan edilmediği durumlarda T.C. Merkez Bankasınca ilan edilen kurlar esas alınır.</w:t>
                  </w:r>
                </w:p>
                <w:p w:rsidR="00D129BC" w:rsidRPr="00D129BC" w:rsidRDefault="00D129BC" w:rsidP="00D129BC">
                  <w:pPr>
                    <w:spacing w:before="100" w:beforeAutospacing="1" w:after="100" w:afterAutospacing="1" w:line="240" w:lineRule="exact"/>
                    <w:rPr>
                      <w:rFonts w:ascii="Times New Roman" w:eastAsia="Times New Roman" w:hAnsi="Times New Roman" w:cs="Times New Roman"/>
                      <w:sz w:val="18"/>
                      <w:szCs w:val="18"/>
                      <w:lang w:eastAsia="tr-TR"/>
                    </w:rPr>
                  </w:pPr>
                  <w:r w:rsidRPr="00D129BC">
                    <w:rPr>
                      <w:rFonts w:ascii="Times New Roman" w:eastAsia="Times New Roman" w:hAnsi="Times New Roman" w:cs="Times New Roman"/>
                      <w:sz w:val="18"/>
                      <w:szCs w:val="18"/>
                      <w:lang w:eastAsia="tr-TR"/>
                    </w:rPr>
                    <w:t>(2) Bu şekilde yapılacak değerlemelerde efektif cinsinden yabancı paralar için efektif alış kuru (efektif alış kurunun bulunmaması halinde döviz alış kuru), döviz cinsinden yabancı paralar içinse döviz alış kuru uygulanır.</w:t>
                  </w:r>
                </w:p>
                <w:p w:rsidR="00D129BC" w:rsidRPr="00D129BC" w:rsidRDefault="00D129BC" w:rsidP="00D129BC">
                  <w:pPr>
                    <w:spacing w:before="100" w:beforeAutospacing="1" w:after="100" w:afterAutospacing="1" w:line="240" w:lineRule="exact"/>
                    <w:rPr>
                      <w:rFonts w:ascii="Times New Roman" w:eastAsia="Times New Roman" w:hAnsi="Times New Roman" w:cs="Times New Roman"/>
                      <w:sz w:val="18"/>
                      <w:szCs w:val="18"/>
                      <w:lang w:eastAsia="tr-TR"/>
                    </w:rPr>
                  </w:pPr>
                  <w:r w:rsidRPr="00D129BC">
                    <w:rPr>
                      <w:rFonts w:ascii="Times New Roman" w:eastAsia="Times New Roman" w:hAnsi="Times New Roman" w:cs="Times New Roman"/>
                      <w:sz w:val="18"/>
                      <w:szCs w:val="18"/>
                      <w:lang w:eastAsia="tr-TR"/>
                    </w:rPr>
                    <w:t xml:space="preserve">(3) Ancak vergi uygulamaları açısından bankaların, </w:t>
                  </w:r>
                  <w:proofErr w:type="gramStart"/>
                  <w:r w:rsidRPr="00D129BC">
                    <w:rPr>
                      <w:rFonts w:ascii="Times New Roman" w:eastAsia="Times New Roman" w:hAnsi="Times New Roman" w:cs="Times New Roman"/>
                      <w:sz w:val="18"/>
                      <w:szCs w:val="18"/>
                      <w:lang w:eastAsia="tr-TR"/>
                    </w:rPr>
                    <w:t>31/12/2015</w:t>
                  </w:r>
                  <w:proofErr w:type="gramEnd"/>
                  <w:r w:rsidRPr="00D129BC">
                    <w:rPr>
                      <w:rFonts w:ascii="Times New Roman" w:eastAsia="Times New Roman" w:hAnsi="Times New Roman" w:cs="Times New Roman"/>
                      <w:sz w:val="18"/>
                      <w:szCs w:val="18"/>
                      <w:lang w:eastAsia="tr-TR"/>
                    </w:rPr>
                    <w:t xml:space="preserve"> tarihi itibarıyla yapacakları değerleme sırasında bu Tebliğ ile belirlenen kurlar yerine, T.C. Merkez Bankasınca belirlenen esaslara uygun olarak tespit ettikleri ve fiilen uyguladıkları alış kurlarını esas almaları gerekir.</w:t>
                  </w:r>
                </w:p>
                <w:p w:rsidR="00D129BC" w:rsidRPr="00D129BC" w:rsidRDefault="00D129BC" w:rsidP="00D129BC">
                  <w:pPr>
                    <w:spacing w:before="100" w:beforeAutospacing="1" w:after="100" w:afterAutospacing="1" w:line="240" w:lineRule="exact"/>
                    <w:rPr>
                      <w:rFonts w:ascii="Times New Roman" w:eastAsia="Times New Roman" w:hAnsi="Times New Roman" w:cs="Times New Roman"/>
                      <w:b/>
                      <w:sz w:val="18"/>
                      <w:szCs w:val="18"/>
                      <w:lang w:eastAsia="tr-TR"/>
                    </w:rPr>
                  </w:pPr>
                  <w:r w:rsidRPr="00D129BC">
                    <w:rPr>
                      <w:rFonts w:ascii="Times New Roman" w:eastAsia="Times New Roman" w:hAnsi="Times New Roman" w:cs="Times New Roman"/>
                      <w:b/>
                      <w:sz w:val="18"/>
                      <w:szCs w:val="18"/>
                      <w:lang w:eastAsia="tr-TR"/>
                    </w:rPr>
                    <w:t>Yürütme</w:t>
                  </w:r>
                </w:p>
                <w:p w:rsidR="00D129BC" w:rsidRPr="00D129BC" w:rsidRDefault="00D129BC" w:rsidP="00D129BC">
                  <w:pPr>
                    <w:spacing w:before="100" w:beforeAutospacing="1" w:after="100" w:afterAutospacing="1" w:line="240" w:lineRule="exact"/>
                    <w:rPr>
                      <w:rFonts w:ascii="Times New Roman" w:eastAsia="Times New Roman" w:hAnsi="Times New Roman" w:cs="Times New Roman"/>
                      <w:sz w:val="18"/>
                      <w:szCs w:val="18"/>
                      <w:lang w:eastAsia="tr-TR"/>
                    </w:rPr>
                  </w:pPr>
                  <w:r w:rsidRPr="00D129BC">
                    <w:rPr>
                      <w:rFonts w:ascii="Times New Roman" w:eastAsia="Times New Roman" w:hAnsi="Times New Roman" w:cs="Times New Roman"/>
                      <w:b/>
                      <w:sz w:val="18"/>
                      <w:szCs w:val="18"/>
                      <w:lang w:eastAsia="tr-TR"/>
                    </w:rPr>
                    <w:t>MADDE 5 –</w:t>
                  </w:r>
                  <w:r w:rsidRPr="00D129BC">
                    <w:rPr>
                      <w:rFonts w:ascii="Times New Roman" w:eastAsia="Times New Roman" w:hAnsi="Times New Roman" w:cs="Times New Roman"/>
                      <w:sz w:val="18"/>
                      <w:szCs w:val="18"/>
                      <w:lang w:eastAsia="tr-TR"/>
                    </w:rPr>
                    <w:t xml:space="preserve"> (1) Bu Tebliğ hükümlerini Maliye Bakanı yürütür.</w:t>
                  </w:r>
                </w:p>
                <w:p w:rsidR="00D129BC" w:rsidRPr="00D129BC" w:rsidRDefault="00D129BC" w:rsidP="00D129BC">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D129BC" w:rsidRPr="00D129BC" w:rsidRDefault="00D129BC" w:rsidP="00D129BC">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D129BC" w:rsidRPr="00D129BC" w:rsidRDefault="00D129BC" w:rsidP="00D129BC">
                  <w:pPr>
                    <w:spacing w:before="100" w:beforeAutospacing="1" w:after="100" w:afterAutospacing="1" w:line="240" w:lineRule="exact"/>
                    <w:rPr>
                      <w:rFonts w:ascii="Times New Roman" w:eastAsia="Times New Roman" w:hAnsi="Times New Roman" w:cs="Times New Roman"/>
                      <w:b/>
                      <w:sz w:val="18"/>
                      <w:szCs w:val="18"/>
                      <w:lang w:eastAsia="tr-TR"/>
                    </w:rPr>
                  </w:pPr>
                  <w:hyperlink r:id="rId4" w:history="1">
                    <w:r w:rsidRPr="00D129BC">
                      <w:rPr>
                        <w:rFonts w:ascii="Times New Roman" w:eastAsia="Times New Roman" w:hAnsi="Times New Roman" w:cs="Times New Roman"/>
                        <w:b/>
                        <w:color w:val="0000FF"/>
                        <w:sz w:val="18"/>
                        <w:lang w:eastAsia="tr-TR"/>
                      </w:rPr>
                      <w:t>Ekleri için tıklayınız.</w:t>
                    </w:r>
                  </w:hyperlink>
                </w:p>
                <w:p w:rsidR="00D129BC" w:rsidRPr="00D129BC" w:rsidRDefault="00D129BC" w:rsidP="00D129BC">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D129BC" w:rsidRPr="00D129BC" w:rsidRDefault="00D129BC" w:rsidP="00D129BC">
            <w:pPr>
              <w:spacing w:after="0" w:line="240" w:lineRule="auto"/>
              <w:jc w:val="center"/>
              <w:rPr>
                <w:rFonts w:ascii="Times New Roman" w:eastAsia="Times New Roman" w:hAnsi="Times New Roman" w:cs="Times New Roman"/>
                <w:sz w:val="20"/>
                <w:szCs w:val="20"/>
                <w:lang w:eastAsia="tr-TR"/>
              </w:rPr>
            </w:pPr>
          </w:p>
        </w:tc>
      </w:tr>
    </w:tbl>
    <w:p w:rsidR="00D129BC" w:rsidRPr="00D129BC" w:rsidRDefault="00D129BC" w:rsidP="00D129BC">
      <w:pPr>
        <w:spacing w:after="0" w:line="240" w:lineRule="auto"/>
        <w:jc w:val="center"/>
        <w:rPr>
          <w:rFonts w:ascii="Times New Roman" w:eastAsia="Times New Roman" w:hAnsi="Times New Roman" w:cs="Times New Roman"/>
          <w:sz w:val="24"/>
          <w:szCs w:val="24"/>
          <w:lang w:eastAsia="tr-TR"/>
        </w:rPr>
      </w:pPr>
    </w:p>
    <w:p w:rsidR="00142B57" w:rsidRDefault="00142B57"/>
    <w:sectPr w:rsidR="00142B57" w:rsidSect="00142B5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D129BC"/>
    <w:rsid w:val="00142B57"/>
    <w:rsid w:val="00D129B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B5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D129BC"/>
    <w:rPr>
      <w:color w:val="0000FF"/>
      <w:u w:val="single"/>
    </w:rPr>
  </w:style>
  <w:style w:type="paragraph" w:styleId="NormalWeb">
    <w:name w:val="Normal (Web)"/>
    <w:basedOn w:val="Normal"/>
    <w:rsid w:val="00D129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 Başlık Bold"/>
    <w:rsid w:val="00D129BC"/>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Balk11pt">
    <w:name w:val="Başlık 11 pt"/>
    <w:rsid w:val="00D129BC"/>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metin">
    <w:name w:val="metin"/>
    <w:basedOn w:val="Normal"/>
    <w:rsid w:val="00D129B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526064152">
      <w:bodyDiv w:val="1"/>
      <w:marLeft w:val="0"/>
      <w:marRight w:val="0"/>
      <w:marTop w:val="0"/>
      <w:marBottom w:val="0"/>
      <w:divBdr>
        <w:top w:val="none" w:sz="0" w:space="0" w:color="auto"/>
        <w:left w:val="none" w:sz="0" w:space="0" w:color="auto"/>
        <w:bottom w:val="none" w:sz="0" w:space="0" w:color="auto"/>
        <w:right w:val="none" w:sz="0" w:space="0" w:color="auto"/>
      </w:divBdr>
      <w:divsChild>
        <w:div w:id="2000960423">
          <w:marLeft w:val="0"/>
          <w:marRight w:val="0"/>
          <w:marTop w:val="0"/>
          <w:marBottom w:val="0"/>
          <w:divBdr>
            <w:top w:val="none" w:sz="0" w:space="0" w:color="auto"/>
            <w:left w:val="none" w:sz="0" w:space="0" w:color="auto"/>
            <w:bottom w:val="none" w:sz="0" w:space="0" w:color="auto"/>
            <w:right w:val="none" w:sz="0" w:space="0" w:color="auto"/>
          </w:divBdr>
          <w:divsChild>
            <w:div w:id="770004567">
              <w:marLeft w:val="0"/>
              <w:marRight w:val="0"/>
              <w:marTop w:val="0"/>
              <w:marBottom w:val="0"/>
              <w:divBdr>
                <w:top w:val="none" w:sz="0" w:space="0" w:color="auto"/>
                <w:left w:val="none" w:sz="0" w:space="0" w:color="auto"/>
                <w:bottom w:val="none" w:sz="0" w:space="0" w:color="auto"/>
                <w:right w:val="none" w:sz="0" w:space="0" w:color="auto"/>
              </w:divBdr>
              <w:divsChild>
                <w:div w:id="1093470977">
                  <w:marLeft w:val="0"/>
                  <w:marRight w:val="0"/>
                  <w:marTop w:val="0"/>
                  <w:marBottom w:val="0"/>
                  <w:divBdr>
                    <w:top w:val="none" w:sz="0" w:space="0" w:color="auto"/>
                    <w:left w:val="none" w:sz="0" w:space="0" w:color="auto"/>
                    <w:bottom w:val="none" w:sz="0" w:space="0" w:color="auto"/>
                    <w:right w:val="none" w:sz="0" w:space="0" w:color="auto"/>
                  </w:divBdr>
                  <w:divsChild>
                    <w:div w:id="161219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6/02/20160206-5-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1626</Characters>
  <Application>Microsoft Office Word</Application>
  <DocSecurity>0</DocSecurity>
  <Lines>13</Lines>
  <Paragraphs>3</Paragraphs>
  <ScaleCrop>false</ScaleCrop>
  <Company/>
  <LinksUpToDate>false</LinksUpToDate>
  <CharactersWithSpaces>1908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2016-02-08T06:59:00Z</dcterms:created>
  <dcterms:modified xsi:type="dcterms:W3CDTF">2016-02-08T06:59:00Z</dcterms:modified>
</cp:coreProperties>
</file>