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D2D2B" w:rsidRPr="002D2D2B" w:rsidTr="002D2D2B">
        <w:trPr>
          <w:jc w:val="center"/>
        </w:trPr>
        <w:tc>
          <w:tcPr>
            <w:tcW w:w="9104" w:type="dxa"/>
            <w:hideMark/>
          </w:tcPr>
          <w:tbl>
            <w:tblPr>
              <w:tblW w:w="8789" w:type="dxa"/>
              <w:jc w:val="center"/>
              <w:tblLook w:val="01E0"/>
            </w:tblPr>
            <w:tblGrid>
              <w:gridCol w:w="2931"/>
              <w:gridCol w:w="2931"/>
              <w:gridCol w:w="2927"/>
            </w:tblGrid>
            <w:tr w:rsidR="002D2D2B" w:rsidRPr="002D2D2B">
              <w:trPr>
                <w:trHeight w:val="317"/>
                <w:jc w:val="center"/>
              </w:trPr>
              <w:tc>
                <w:tcPr>
                  <w:tcW w:w="2931" w:type="dxa"/>
                  <w:tcBorders>
                    <w:top w:val="nil"/>
                    <w:left w:val="nil"/>
                    <w:bottom w:val="single" w:sz="4" w:space="0" w:color="660066"/>
                    <w:right w:val="nil"/>
                  </w:tcBorders>
                  <w:vAlign w:val="center"/>
                  <w:hideMark/>
                </w:tcPr>
                <w:p w:rsidR="002D2D2B" w:rsidRPr="002D2D2B" w:rsidRDefault="002D2D2B" w:rsidP="002D2D2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D2D2B">
                    <w:rPr>
                      <w:rFonts w:ascii="Arial" w:eastAsia="Times New Roman" w:hAnsi="Arial" w:cs="Arial"/>
                      <w:sz w:val="16"/>
                      <w:szCs w:val="16"/>
                      <w:lang w:eastAsia="tr-TR"/>
                    </w:rPr>
                    <w:t>10 Şubat 2016 ÇARŞAMBA</w:t>
                  </w:r>
                </w:p>
              </w:tc>
              <w:tc>
                <w:tcPr>
                  <w:tcW w:w="2931" w:type="dxa"/>
                  <w:tcBorders>
                    <w:top w:val="nil"/>
                    <w:left w:val="nil"/>
                    <w:bottom w:val="single" w:sz="4" w:space="0" w:color="660066"/>
                    <w:right w:val="nil"/>
                  </w:tcBorders>
                  <w:vAlign w:val="center"/>
                  <w:hideMark/>
                </w:tcPr>
                <w:p w:rsidR="002D2D2B" w:rsidRPr="002D2D2B" w:rsidRDefault="002D2D2B" w:rsidP="002D2D2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D2D2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D2D2B" w:rsidRPr="002D2D2B" w:rsidRDefault="002D2D2B" w:rsidP="002D2D2B">
                  <w:pPr>
                    <w:spacing w:before="100" w:beforeAutospacing="1" w:after="100" w:afterAutospacing="1" w:line="240" w:lineRule="auto"/>
                    <w:jc w:val="right"/>
                    <w:rPr>
                      <w:rFonts w:ascii="Arial" w:eastAsia="Times New Roman" w:hAnsi="Arial" w:cs="Arial"/>
                      <w:sz w:val="16"/>
                      <w:szCs w:val="16"/>
                      <w:lang w:eastAsia="tr-TR"/>
                    </w:rPr>
                  </w:pPr>
                  <w:proofErr w:type="gramStart"/>
                  <w:r w:rsidRPr="002D2D2B">
                    <w:rPr>
                      <w:rFonts w:ascii="Arial" w:eastAsia="Times New Roman" w:hAnsi="Arial" w:cs="Arial"/>
                      <w:sz w:val="16"/>
                      <w:szCs w:val="16"/>
                      <w:lang w:eastAsia="tr-TR"/>
                    </w:rPr>
                    <w:t>Sayı : 29620</w:t>
                  </w:r>
                  <w:proofErr w:type="gramEnd"/>
                </w:p>
              </w:tc>
            </w:tr>
            <w:tr w:rsidR="002D2D2B" w:rsidRPr="002D2D2B">
              <w:trPr>
                <w:trHeight w:val="480"/>
                <w:jc w:val="center"/>
              </w:trPr>
              <w:tc>
                <w:tcPr>
                  <w:tcW w:w="8789" w:type="dxa"/>
                  <w:gridSpan w:val="3"/>
                  <w:vAlign w:val="center"/>
                  <w:hideMark/>
                </w:tcPr>
                <w:p w:rsidR="002D2D2B" w:rsidRPr="002D2D2B" w:rsidRDefault="002D2D2B" w:rsidP="002D2D2B">
                  <w:pPr>
                    <w:spacing w:before="100" w:beforeAutospacing="1" w:after="100" w:afterAutospacing="1" w:line="240" w:lineRule="auto"/>
                    <w:jc w:val="center"/>
                    <w:rPr>
                      <w:rFonts w:ascii="Arial" w:eastAsia="Times New Roman" w:hAnsi="Arial" w:cs="Arial"/>
                      <w:b/>
                      <w:color w:val="000080"/>
                      <w:sz w:val="18"/>
                      <w:szCs w:val="18"/>
                      <w:lang w:eastAsia="tr-TR"/>
                    </w:rPr>
                  </w:pPr>
                  <w:r w:rsidRPr="002D2D2B">
                    <w:rPr>
                      <w:rFonts w:ascii="Arial" w:eastAsia="Times New Roman" w:hAnsi="Arial" w:cs="Arial"/>
                      <w:b/>
                      <w:color w:val="000080"/>
                      <w:sz w:val="18"/>
                      <w:szCs w:val="18"/>
                      <w:lang w:eastAsia="tr-TR"/>
                    </w:rPr>
                    <w:t>YÖNETMELİK</w:t>
                  </w:r>
                </w:p>
              </w:tc>
            </w:tr>
            <w:tr w:rsidR="002D2D2B" w:rsidRPr="002D2D2B">
              <w:trPr>
                <w:trHeight w:val="480"/>
                <w:jc w:val="center"/>
              </w:trPr>
              <w:tc>
                <w:tcPr>
                  <w:tcW w:w="8789" w:type="dxa"/>
                  <w:gridSpan w:val="3"/>
                  <w:vAlign w:val="center"/>
                </w:tcPr>
                <w:p w:rsidR="002D2D2B" w:rsidRPr="002D2D2B" w:rsidRDefault="002D2D2B" w:rsidP="002D2D2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D2D2B">
                    <w:rPr>
                      <w:rFonts w:ascii="Times New Roman" w:eastAsia="Times New Roman" w:hAnsi="Times New Roman" w:cs="Times New Roman"/>
                      <w:sz w:val="18"/>
                      <w:szCs w:val="18"/>
                      <w:u w:val="single"/>
                      <w:lang w:eastAsia="tr-TR"/>
                    </w:rPr>
                    <w:t>Sosyal Güvenlik Kurumundan:</w:t>
                  </w:r>
                </w:p>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lang w:eastAsia="tr-TR"/>
                    </w:rPr>
                  </w:pPr>
                  <w:r w:rsidRPr="002D2D2B">
                    <w:rPr>
                      <w:rFonts w:ascii="Times New Roman" w:eastAsia="Times New Roman" w:hAnsi="Times New Roman" w:cs="Times New Roman"/>
                      <w:b/>
                      <w:sz w:val="18"/>
                      <w:szCs w:val="18"/>
                      <w:lang w:eastAsia="tr-TR"/>
                    </w:rPr>
                    <w:t>SOSYAL GÜVENLİK KURUMU SAĞLIK HİZMETLERİ FİYATLANDIRMA</w:t>
                  </w:r>
                </w:p>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lang w:eastAsia="tr-TR"/>
                    </w:rPr>
                  </w:pPr>
                  <w:r w:rsidRPr="002D2D2B">
                    <w:rPr>
                      <w:rFonts w:ascii="Times New Roman" w:eastAsia="Times New Roman" w:hAnsi="Times New Roman" w:cs="Times New Roman"/>
                      <w:b/>
                      <w:sz w:val="18"/>
                      <w:szCs w:val="18"/>
                      <w:lang w:eastAsia="tr-TR"/>
                    </w:rPr>
                    <w:t>KOMİSYONU ÇALIŞMA USUL VE ESASLARI HAKKINDA</w:t>
                  </w:r>
                </w:p>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lang w:eastAsia="tr-TR"/>
                    </w:rPr>
                  </w:pPr>
                  <w:r w:rsidRPr="002D2D2B">
                    <w:rPr>
                      <w:rFonts w:ascii="Times New Roman" w:eastAsia="Times New Roman" w:hAnsi="Times New Roman" w:cs="Times New Roman"/>
                      <w:b/>
                      <w:sz w:val="18"/>
                      <w:szCs w:val="18"/>
                      <w:lang w:eastAsia="tr-TR"/>
                    </w:rPr>
                    <w:t>YÖNETMELİKTE DEĞİŞİKLİK YAPILMASINA</w:t>
                  </w:r>
                </w:p>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lang w:eastAsia="tr-TR"/>
                    </w:rPr>
                  </w:pPr>
                  <w:r w:rsidRPr="002D2D2B">
                    <w:rPr>
                      <w:rFonts w:ascii="Times New Roman" w:eastAsia="Times New Roman" w:hAnsi="Times New Roman" w:cs="Times New Roman"/>
                      <w:b/>
                      <w:sz w:val="18"/>
                      <w:szCs w:val="18"/>
                      <w:lang w:eastAsia="tr-TR"/>
                    </w:rPr>
                    <w:t>DAİR YÖNETMELİK</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b/>
                      <w:sz w:val="18"/>
                      <w:szCs w:val="18"/>
                      <w:lang w:eastAsia="tr-TR"/>
                    </w:rPr>
                    <w:t>MADDE 1 –</w:t>
                  </w:r>
                  <w:r w:rsidRPr="002D2D2B">
                    <w:rPr>
                      <w:rFonts w:ascii="Times New Roman" w:eastAsia="Times New Roman" w:hAnsi="Times New Roman" w:cs="Times New Roman"/>
                      <w:sz w:val="18"/>
                      <w:szCs w:val="18"/>
                      <w:lang w:eastAsia="tr-TR"/>
                    </w:rPr>
                    <w:t xml:space="preserve"> </w:t>
                  </w:r>
                  <w:proofErr w:type="gramStart"/>
                  <w:r w:rsidRPr="002D2D2B">
                    <w:rPr>
                      <w:rFonts w:ascii="Times New Roman" w:eastAsia="Times New Roman" w:hAnsi="Times New Roman" w:cs="Times New Roman"/>
                      <w:sz w:val="18"/>
                      <w:szCs w:val="18"/>
                      <w:lang w:eastAsia="tr-TR"/>
                    </w:rPr>
                    <w:t>23/8/2008</w:t>
                  </w:r>
                  <w:proofErr w:type="gramEnd"/>
                  <w:r w:rsidRPr="002D2D2B">
                    <w:rPr>
                      <w:rFonts w:ascii="Times New Roman" w:eastAsia="Times New Roman" w:hAnsi="Times New Roman" w:cs="Times New Roman"/>
                      <w:sz w:val="18"/>
                      <w:szCs w:val="18"/>
                      <w:lang w:eastAsia="tr-TR"/>
                    </w:rPr>
                    <w:t xml:space="preserve"> tarihli ve 26976 sayılı Resmî Gazete’de yayımlanan Sosyal Güvenlik Kurumu Sağlık Hizmetleri Fiyatlandırma Komisyonu Çalışma Usul ve Esasları Hakkında Yönetmeliğin 1 inci maddesi aşağıdaki şekilde değiştirilmiştir.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sz w:val="18"/>
                      <w:szCs w:val="18"/>
                      <w:lang w:eastAsia="tr-TR"/>
                    </w:rPr>
                    <w:t>“</w:t>
                  </w:r>
                  <w:r w:rsidRPr="002D2D2B">
                    <w:rPr>
                      <w:rFonts w:ascii="Times New Roman" w:eastAsia="Times New Roman" w:hAnsi="Times New Roman" w:cs="Times New Roman"/>
                      <w:b/>
                      <w:sz w:val="18"/>
                      <w:szCs w:val="18"/>
                      <w:lang w:eastAsia="tr-TR"/>
                    </w:rPr>
                    <w:t>MADDE 1 –</w:t>
                  </w:r>
                  <w:r w:rsidRPr="002D2D2B">
                    <w:rPr>
                      <w:rFonts w:ascii="Times New Roman" w:eastAsia="Times New Roman" w:hAnsi="Times New Roman" w:cs="Times New Roman"/>
                      <w:sz w:val="18"/>
                      <w:szCs w:val="18"/>
                      <w:lang w:eastAsia="tr-TR"/>
                    </w:rPr>
                    <w:t xml:space="preserve"> (1) Bu Yönetmeliğin amacı; 31/5/2006 tarihli ve 5510 sayılı Sosyal Sigortalar ve Genel Sağlık Sigortası Kanunu gereğince alternatif geri ödeme modelleri ve alım </w:t>
                  </w:r>
                  <w:proofErr w:type="gramStart"/>
                  <w:r w:rsidRPr="002D2D2B">
                    <w:rPr>
                      <w:rFonts w:ascii="Times New Roman" w:eastAsia="Times New Roman" w:hAnsi="Times New Roman" w:cs="Times New Roman"/>
                      <w:sz w:val="18"/>
                      <w:szCs w:val="18"/>
                      <w:lang w:eastAsia="tr-TR"/>
                    </w:rPr>
                    <w:t>dahil</w:t>
                  </w:r>
                  <w:proofErr w:type="gramEnd"/>
                  <w:r w:rsidRPr="002D2D2B">
                    <w:rPr>
                      <w:rFonts w:ascii="Times New Roman" w:eastAsia="Times New Roman" w:hAnsi="Times New Roman" w:cs="Times New Roman"/>
                      <w:sz w:val="18"/>
                      <w:szCs w:val="18"/>
                      <w:lang w:eastAsia="tr-TR"/>
                    </w:rPr>
                    <w:t xml:space="preserve"> Kurumca finansmanı sağlanan sağlık hizmetleri ile gündelik, yol, yatak ve yemek giderlerinin Kurumca ödenecek bedellerini belirlemeye yetkili Sağlık Hizmetleri Fiyatlandırma Komisyonunun çalışma, görev ve yetkilerine ilişkin usul ve esasları düzenlemektir.”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b/>
                      <w:sz w:val="18"/>
                      <w:szCs w:val="18"/>
                      <w:lang w:eastAsia="tr-TR"/>
                    </w:rPr>
                    <w:t xml:space="preserve">MADDE 2 – </w:t>
                  </w:r>
                  <w:r w:rsidRPr="002D2D2B">
                    <w:rPr>
                      <w:rFonts w:ascii="Times New Roman" w:eastAsia="Times New Roman" w:hAnsi="Times New Roman" w:cs="Times New Roman"/>
                      <w:sz w:val="18"/>
                      <w:szCs w:val="18"/>
                      <w:lang w:eastAsia="tr-TR"/>
                    </w:rPr>
                    <w:t xml:space="preserve">Aynı Yönetmeliğin 2 </w:t>
                  </w:r>
                  <w:proofErr w:type="spellStart"/>
                  <w:r w:rsidRPr="002D2D2B">
                    <w:rPr>
                      <w:rFonts w:ascii="Times New Roman" w:eastAsia="Times New Roman" w:hAnsi="Times New Roman" w:cs="Times New Roman"/>
                      <w:sz w:val="18"/>
                      <w:szCs w:val="18"/>
                      <w:lang w:eastAsia="tr-TR"/>
                    </w:rPr>
                    <w:t>nci</w:t>
                  </w:r>
                  <w:proofErr w:type="spellEnd"/>
                  <w:r w:rsidRPr="002D2D2B">
                    <w:rPr>
                      <w:rFonts w:ascii="Times New Roman" w:eastAsia="Times New Roman" w:hAnsi="Times New Roman" w:cs="Times New Roman"/>
                      <w:sz w:val="18"/>
                      <w:szCs w:val="18"/>
                      <w:lang w:eastAsia="tr-TR"/>
                    </w:rPr>
                    <w:t xml:space="preserve"> maddesi aşağıdaki şekilde değiştirilmiştir.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sz w:val="18"/>
                      <w:szCs w:val="18"/>
                      <w:lang w:eastAsia="tr-TR"/>
                    </w:rPr>
                    <w:t>“</w:t>
                  </w:r>
                  <w:r w:rsidRPr="002D2D2B">
                    <w:rPr>
                      <w:rFonts w:ascii="Times New Roman" w:eastAsia="Times New Roman" w:hAnsi="Times New Roman" w:cs="Times New Roman"/>
                      <w:b/>
                      <w:sz w:val="18"/>
                      <w:szCs w:val="18"/>
                      <w:lang w:eastAsia="tr-TR"/>
                    </w:rPr>
                    <w:t>MADDE 2 –</w:t>
                  </w:r>
                  <w:r w:rsidRPr="002D2D2B">
                    <w:rPr>
                      <w:rFonts w:ascii="Times New Roman" w:eastAsia="Times New Roman" w:hAnsi="Times New Roman" w:cs="Times New Roman"/>
                      <w:sz w:val="18"/>
                      <w:szCs w:val="18"/>
                      <w:lang w:eastAsia="tr-TR"/>
                    </w:rPr>
                    <w:t xml:space="preserve"> (1) Bu Yönetmelik, </w:t>
                  </w:r>
                  <w:proofErr w:type="gramStart"/>
                  <w:r w:rsidRPr="002D2D2B">
                    <w:rPr>
                      <w:rFonts w:ascii="Times New Roman" w:eastAsia="Times New Roman" w:hAnsi="Times New Roman" w:cs="Times New Roman"/>
                      <w:sz w:val="18"/>
                      <w:szCs w:val="18"/>
                      <w:lang w:eastAsia="tr-TR"/>
                    </w:rPr>
                    <w:t>31/5/2006</w:t>
                  </w:r>
                  <w:proofErr w:type="gramEnd"/>
                  <w:r w:rsidRPr="002D2D2B">
                    <w:rPr>
                      <w:rFonts w:ascii="Times New Roman" w:eastAsia="Times New Roman" w:hAnsi="Times New Roman" w:cs="Times New Roman"/>
                      <w:sz w:val="18"/>
                      <w:szCs w:val="18"/>
                      <w:lang w:eastAsia="tr-TR"/>
                    </w:rPr>
                    <w:t xml:space="preserve"> tarihli ve 5510 sayılı Sosyal Sigortalar ve Genel Sağlık Sigortası Kanununun 72 </w:t>
                  </w:r>
                  <w:proofErr w:type="spellStart"/>
                  <w:r w:rsidRPr="002D2D2B">
                    <w:rPr>
                      <w:rFonts w:ascii="Times New Roman" w:eastAsia="Times New Roman" w:hAnsi="Times New Roman" w:cs="Times New Roman"/>
                      <w:sz w:val="18"/>
                      <w:szCs w:val="18"/>
                      <w:lang w:eastAsia="tr-TR"/>
                    </w:rPr>
                    <w:t>nci</w:t>
                  </w:r>
                  <w:proofErr w:type="spellEnd"/>
                  <w:r w:rsidRPr="002D2D2B">
                    <w:rPr>
                      <w:rFonts w:ascii="Times New Roman" w:eastAsia="Times New Roman" w:hAnsi="Times New Roman" w:cs="Times New Roman"/>
                      <w:sz w:val="18"/>
                      <w:szCs w:val="18"/>
                      <w:lang w:eastAsia="tr-TR"/>
                    </w:rPr>
                    <w:t xml:space="preserve"> ve 73 üncü maddelerine dayanılarak hazırlanmıştır.”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b/>
                      <w:sz w:val="18"/>
                      <w:szCs w:val="18"/>
                      <w:lang w:eastAsia="tr-TR"/>
                    </w:rPr>
                    <w:t>MADDE 3 –</w:t>
                  </w:r>
                  <w:r w:rsidRPr="002D2D2B">
                    <w:rPr>
                      <w:rFonts w:ascii="Times New Roman" w:eastAsia="Times New Roman" w:hAnsi="Times New Roman" w:cs="Times New Roman"/>
                      <w:sz w:val="18"/>
                      <w:szCs w:val="18"/>
                      <w:lang w:eastAsia="tr-TR"/>
                    </w:rPr>
                    <w:t xml:space="preserve"> Aynı Yönetmeliğin 3 üncü maddesinin birinci fıkrasının (f) bendi aşağıdaki şekilde değiştirilmiş ve aynı maddeye aşağıdaki bentler eklenmiştir.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sz w:val="18"/>
                      <w:szCs w:val="18"/>
                      <w:lang w:eastAsia="tr-TR"/>
                    </w:rPr>
                    <w:t>“f) İlaç Geri Ödeme Komisyonu: Kurumca finansmanı sağlanan/sağlanacak beşeri tıbbi ürünlerin/beşeri ilaçların ödeme usul ve esaslarının belirlenmesi amacıyla Kurum tarafından oluşturulan komisyonu,”</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2D2B">
                    <w:rPr>
                      <w:rFonts w:ascii="Times New Roman" w:eastAsia="Times New Roman" w:hAnsi="Times New Roman" w:cs="Times New Roman"/>
                      <w:sz w:val="18"/>
                      <w:szCs w:val="18"/>
                      <w:lang w:eastAsia="tr-TR"/>
                    </w:rPr>
                    <w:t>“ı) Sosyal Güvenlik Kurumu Genel Sağlık Sigortası Alternatif Geri Ödeme Komisyonu: Kurumca finansmanı sağlanan/sağlanacak olan sağlık hizmetleri ile ilgili alternatif geri ödeme modelleri ve bunlara ilişkin ödeme usul ve esasları ile sözleşme taslak metinleri hazırlamak amacıyla Kurum tarafından oluşturulan ve bu sağlık hizmeti bedellerinin belirlenmesinde Sağlık Hizmetleri Fiyatlandırma Komisyonu tarafından yetkilendirilen Sosyal Güvenlik Kurumu Genel Sağlık Sigortası Alternatif Geri Ödeme Komisyonunu,</w:t>
                  </w:r>
                  <w:proofErr w:type="gramEnd"/>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2D2B">
                    <w:rPr>
                      <w:rFonts w:ascii="Times New Roman" w:eastAsia="Times New Roman" w:hAnsi="Times New Roman" w:cs="Times New Roman"/>
                      <w:sz w:val="18"/>
                      <w:szCs w:val="18"/>
                      <w:lang w:eastAsia="tr-TR"/>
                    </w:rPr>
                    <w:t>i) Alternatif geri ödeme modeli: Kurumca finansmanı sağlanan/sağlanacak olan sağlık alanındaki ürün ve hizmet gruplarının; ihtiyaç duyulan alanlarda mevcut ödeme usul, esas ve kuralları dışında mali veya tıbbi olarak getireceği faydaya göre ödeme kapsamına alınması veya mevcut ödeme usul, esas ve kurallarının değiştirilmesi ile yurtdışından temin edilen, ülkemizde imal edilemeyen veya bulunmayan ürün gruplarının üretiminin, ithal ürünlerin yerli üretime geçmesinin, piyasada bulunurluğunun sağlanması hususlarının teşvik edilmesi amacıyla oluşturulan geri ödeme modellerini,”</w:t>
                  </w:r>
                  <w:proofErr w:type="gramEnd"/>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b/>
                      <w:sz w:val="18"/>
                      <w:szCs w:val="18"/>
                      <w:lang w:eastAsia="tr-TR"/>
                    </w:rPr>
                    <w:t>MADDE 4 –</w:t>
                  </w:r>
                  <w:r w:rsidRPr="002D2D2B">
                    <w:rPr>
                      <w:rFonts w:ascii="Times New Roman" w:eastAsia="Times New Roman" w:hAnsi="Times New Roman" w:cs="Times New Roman"/>
                      <w:sz w:val="18"/>
                      <w:szCs w:val="18"/>
                      <w:lang w:eastAsia="tr-TR"/>
                    </w:rPr>
                    <w:t xml:space="preserve"> Aynı Yönetmeliğin 5 inci maddesinin altıncı fıkrası aşağıdaki şekilde değiştirilmiştir.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sz w:val="18"/>
                      <w:szCs w:val="18"/>
                      <w:lang w:eastAsia="tr-TR"/>
                    </w:rPr>
                    <w:t>“(6) Komisyon kararları Resmî Gazetede yayımlanır.”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b/>
                      <w:sz w:val="18"/>
                      <w:szCs w:val="18"/>
                      <w:lang w:eastAsia="tr-TR"/>
                    </w:rPr>
                    <w:t xml:space="preserve">MADDE 5 – </w:t>
                  </w:r>
                  <w:r w:rsidRPr="002D2D2B">
                    <w:rPr>
                      <w:rFonts w:ascii="Times New Roman" w:eastAsia="Times New Roman" w:hAnsi="Times New Roman" w:cs="Times New Roman"/>
                      <w:sz w:val="18"/>
                      <w:szCs w:val="18"/>
                      <w:lang w:eastAsia="tr-TR"/>
                    </w:rPr>
                    <w:t xml:space="preserve">Aynı Yönetmeliğin 6 </w:t>
                  </w:r>
                  <w:proofErr w:type="spellStart"/>
                  <w:r w:rsidRPr="002D2D2B">
                    <w:rPr>
                      <w:rFonts w:ascii="Times New Roman" w:eastAsia="Times New Roman" w:hAnsi="Times New Roman" w:cs="Times New Roman"/>
                      <w:sz w:val="18"/>
                      <w:szCs w:val="18"/>
                      <w:lang w:eastAsia="tr-TR"/>
                    </w:rPr>
                    <w:t>ncı</w:t>
                  </w:r>
                  <w:proofErr w:type="spellEnd"/>
                  <w:r w:rsidRPr="002D2D2B">
                    <w:rPr>
                      <w:rFonts w:ascii="Times New Roman" w:eastAsia="Times New Roman" w:hAnsi="Times New Roman" w:cs="Times New Roman"/>
                      <w:sz w:val="18"/>
                      <w:szCs w:val="18"/>
                      <w:lang w:eastAsia="tr-TR"/>
                    </w:rPr>
                    <w:t xml:space="preserve"> maddesinin ikinci fıkrası aşağıdaki şekilde değiştirilmiştir.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sz w:val="18"/>
                      <w:szCs w:val="18"/>
                      <w:lang w:eastAsia="tr-TR"/>
                    </w:rPr>
                    <w:t>“(2) Komisyon; İlaç Geri Ödeme Komisyonuna veya Sosyal Güvenlik Kurumu Genel Sağlık Sigortası Alternatif Geri Ödeme Komisyonuna yetki devri yapabilir.”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b/>
                      <w:sz w:val="18"/>
                      <w:szCs w:val="18"/>
                      <w:lang w:eastAsia="tr-TR"/>
                    </w:rPr>
                    <w:t>MADDE 6 –</w:t>
                  </w:r>
                  <w:r w:rsidRPr="002D2D2B">
                    <w:rPr>
                      <w:rFonts w:ascii="Times New Roman" w:eastAsia="Times New Roman" w:hAnsi="Times New Roman" w:cs="Times New Roman"/>
                      <w:sz w:val="18"/>
                      <w:szCs w:val="18"/>
                      <w:lang w:eastAsia="tr-TR"/>
                    </w:rPr>
                    <w:t xml:space="preserve"> Bu Yönetmelik yayımı tarihinde yürürlüğe girer.</w:t>
                  </w:r>
                </w:p>
                <w:p w:rsidR="002D2D2B" w:rsidRPr="002D2D2B" w:rsidRDefault="002D2D2B" w:rsidP="002D2D2B">
                  <w:pPr>
                    <w:spacing w:before="100" w:beforeAutospacing="1" w:after="100" w:afterAutospacing="1" w:line="240" w:lineRule="exact"/>
                    <w:rPr>
                      <w:rFonts w:ascii="Times New Roman" w:eastAsia="Times New Roman" w:hAnsi="Times New Roman" w:cs="Times New Roman"/>
                      <w:sz w:val="18"/>
                      <w:szCs w:val="18"/>
                      <w:lang w:eastAsia="tr-TR"/>
                    </w:rPr>
                  </w:pPr>
                  <w:r w:rsidRPr="002D2D2B">
                    <w:rPr>
                      <w:rFonts w:ascii="Times New Roman" w:eastAsia="Times New Roman" w:hAnsi="Times New Roman" w:cs="Times New Roman"/>
                      <w:b/>
                      <w:sz w:val="18"/>
                      <w:szCs w:val="18"/>
                      <w:lang w:eastAsia="tr-TR"/>
                    </w:rPr>
                    <w:t>MADDE 7 –</w:t>
                  </w:r>
                  <w:r w:rsidRPr="002D2D2B">
                    <w:rPr>
                      <w:rFonts w:ascii="Times New Roman" w:eastAsia="Times New Roman" w:hAnsi="Times New Roman" w:cs="Times New Roman"/>
                      <w:sz w:val="18"/>
                      <w:szCs w:val="18"/>
                      <w:lang w:eastAsia="tr-TR"/>
                    </w:rPr>
                    <w:t xml:space="preserve"> Bu Yönetmelik hükümlerini Sosyal Güvenlik Kurumu Başkanı yürütür.</w:t>
                  </w:r>
                </w:p>
                <w:p w:rsidR="002D2D2B" w:rsidRPr="002D2D2B" w:rsidRDefault="002D2D2B" w:rsidP="002D2D2B">
                  <w:pPr>
                    <w:spacing w:before="100" w:beforeAutospacing="1" w:after="100" w:afterAutospacing="1" w:line="240" w:lineRule="exact"/>
                    <w:jc w:val="center"/>
                    <w:rPr>
                      <w:rFonts w:ascii="Times New Roman" w:eastAsia="Times New Roman" w:hAnsi="Times New Roman" w:cs="Times New Roman"/>
                      <w:b/>
                      <w:sz w:val="18"/>
                      <w:szCs w:val="24"/>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2D2D2B" w:rsidRPr="002D2D2B">
                    <w:trPr>
                      <w:jc w:val="center"/>
                    </w:trPr>
                    <w:tc>
                      <w:tcPr>
                        <w:tcW w:w="8505" w:type="dxa"/>
                        <w:gridSpan w:val="2"/>
                        <w:tcBorders>
                          <w:top w:val="single" w:sz="4" w:space="0" w:color="auto"/>
                          <w:left w:val="single" w:sz="4" w:space="0" w:color="auto"/>
                          <w:bottom w:val="nil"/>
                          <w:right w:val="single" w:sz="4" w:space="0" w:color="auto"/>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rPr>
                        </w:pPr>
                        <w:r w:rsidRPr="002D2D2B">
                          <w:rPr>
                            <w:rFonts w:ascii="Times New Roman" w:eastAsia="Times New Roman" w:hAnsi="Times New Roman" w:cs="Times New Roman"/>
                            <w:b/>
                            <w:sz w:val="18"/>
                            <w:szCs w:val="18"/>
                          </w:rPr>
                          <w:t>Yönetmeliğin Yayımlandığı Resmî Gazete'nin</w:t>
                        </w:r>
                      </w:p>
                    </w:tc>
                  </w:tr>
                  <w:tr w:rsidR="002D2D2B" w:rsidRPr="002D2D2B">
                    <w:trPr>
                      <w:jc w:val="center"/>
                    </w:trPr>
                    <w:tc>
                      <w:tcPr>
                        <w:tcW w:w="4254" w:type="dxa"/>
                        <w:tcBorders>
                          <w:top w:val="nil"/>
                          <w:left w:val="single" w:sz="4" w:space="0" w:color="auto"/>
                          <w:bottom w:val="single" w:sz="4" w:space="0" w:color="auto"/>
                          <w:right w:val="nil"/>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rPr>
                        </w:pPr>
                        <w:r w:rsidRPr="002D2D2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rPr>
                        </w:pPr>
                        <w:r w:rsidRPr="002D2D2B">
                          <w:rPr>
                            <w:rFonts w:ascii="Times New Roman" w:eastAsia="Times New Roman" w:hAnsi="Times New Roman" w:cs="Times New Roman"/>
                            <w:b/>
                            <w:sz w:val="18"/>
                            <w:szCs w:val="18"/>
                          </w:rPr>
                          <w:t>Sayısı</w:t>
                        </w:r>
                      </w:p>
                    </w:tc>
                  </w:tr>
                  <w:tr w:rsidR="002D2D2B" w:rsidRPr="002D2D2B">
                    <w:trPr>
                      <w:jc w:val="center"/>
                    </w:trPr>
                    <w:tc>
                      <w:tcPr>
                        <w:tcW w:w="4254" w:type="dxa"/>
                        <w:tcBorders>
                          <w:top w:val="single" w:sz="4" w:space="0" w:color="auto"/>
                          <w:left w:val="single" w:sz="4" w:space="0" w:color="auto"/>
                          <w:bottom w:val="single" w:sz="4" w:space="0" w:color="auto"/>
                          <w:right w:val="single" w:sz="4" w:space="0" w:color="auto"/>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sz w:val="18"/>
                            <w:szCs w:val="18"/>
                          </w:rPr>
                        </w:pPr>
                        <w:proofErr w:type="gramStart"/>
                        <w:r w:rsidRPr="002D2D2B">
                          <w:rPr>
                            <w:rFonts w:ascii="Times New Roman" w:eastAsia="Times New Roman" w:hAnsi="Times New Roman" w:cs="Times New Roman"/>
                            <w:sz w:val="18"/>
                            <w:szCs w:val="18"/>
                          </w:rPr>
                          <w:t>23/8/2008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sz w:val="18"/>
                            <w:szCs w:val="18"/>
                          </w:rPr>
                        </w:pPr>
                        <w:r w:rsidRPr="002D2D2B">
                          <w:rPr>
                            <w:rFonts w:ascii="Times New Roman" w:eastAsia="Times New Roman" w:hAnsi="Times New Roman" w:cs="Times New Roman"/>
                            <w:sz w:val="18"/>
                            <w:szCs w:val="18"/>
                          </w:rPr>
                          <w:t>26976</w:t>
                        </w:r>
                      </w:p>
                    </w:tc>
                  </w:tr>
                  <w:tr w:rsidR="002D2D2B" w:rsidRPr="002D2D2B">
                    <w:trPr>
                      <w:jc w:val="center"/>
                    </w:trPr>
                    <w:tc>
                      <w:tcPr>
                        <w:tcW w:w="8505" w:type="dxa"/>
                        <w:gridSpan w:val="2"/>
                        <w:tcBorders>
                          <w:top w:val="single" w:sz="4" w:space="0" w:color="auto"/>
                          <w:left w:val="single" w:sz="4" w:space="0" w:color="auto"/>
                          <w:bottom w:val="nil"/>
                          <w:right w:val="single" w:sz="4" w:space="0" w:color="auto"/>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rPr>
                        </w:pPr>
                        <w:r w:rsidRPr="002D2D2B">
                          <w:rPr>
                            <w:rFonts w:ascii="Times New Roman" w:eastAsia="Times New Roman" w:hAnsi="Times New Roman" w:cs="Times New Roman"/>
                            <w:b/>
                            <w:sz w:val="18"/>
                            <w:szCs w:val="18"/>
                          </w:rPr>
                          <w:t>Yönetmelikte Değişiklik Yapan Yönetmeliğin Yayımlandığı Resmî Gazete'nin</w:t>
                        </w:r>
                      </w:p>
                    </w:tc>
                  </w:tr>
                  <w:tr w:rsidR="002D2D2B" w:rsidRPr="002D2D2B">
                    <w:trPr>
                      <w:jc w:val="center"/>
                    </w:trPr>
                    <w:tc>
                      <w:tcPr>
                        <w:tcW w:w="4254" w:type="dxa"/>
                        <w:tcBorders>
                          <w:top w:val="nil"/>
                          <w:left w:val="single" w:sz="4" w:space="0" w:color="auto"/>
                          <w:bottom w:val="single" w:sz="4" w:space="0" w:color="auto"/>
                          <w:right w:val="nil"/>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rPr>
                        </w:pPr>
                        <w:r w:rsidRPr="002D2D2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b/>
                            <w:sz w:val="18"/>
                            <w:szCs w:val="18"/>
                          </w:rPr>
                        </w:pPr>
                        <w:r w:rsidRPr="002D2D2B">
                          <w:rPr>
                            <w:rFonts w:ascii="Times New Roman" w:eastAsia="Times New Roman" w:hAnsi="Times New Roman" w:cs="Times New Roman"/>
                            <w:b/>
                            <w:sz w:val="18"/>
                            <w:szCs w:val="18"/>
                          </w:rPr>
                          <w:t>Sayısı</w:t>
                        </w:r>
                      </w:p>
                    </w:tc>
                  </w:tr>
                  <w:tr w:rsidR="002D2D2B" w:rsidRPr="002D2D2B">
                    <w:trPr>
                      <w:jc w:val="center"/>
                    </w:trPr>
                    <w:tc>
                      <w:tcPr>
                        <w:tcW w:w="4254" w:type="dxa"/>
                        <w:tcBorders>
                          <w:top w:val="single" w:sz="4" w:space="0" w:color="auto"/>
                          <w:left w:val="single" w:sz="4" w:space="0" w:color="auto"/>
                          <w:bottom w:val="single" w:sz="4" w:space="0" w:color="auto"/>
                          <w:right w:val="single" w:sz="4" w:space="0" w:color="auto"/>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sz w:val="18"/>
                            <w:szCs w:val="18"/>
                          </w:rPr>
                        </w:pPr>
                        <w:proofErr w:type="gramStart"/>
                        <w:r w:rsidRPr="002D2D2B">
                          <w:rPr>
                            <w:rFonts w:ascii="Times New Roman" w:eastAsia="Times New Roman" w:hAnsi="Times New Roman" w:cs="Times New Roman"/>
                            <w:sz w:val="18"/>
                            <w:szCs w:val="18"/>
                          </w:rPr>
                          <w:t>25/12/2013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D2D2B" w:rsidRPr="002D2D2B" w:rsidRDefault="002D2D2B" w:rsidP="002D2D2B">
                        <w:pPr>
                          <w:tabs>
                            <w:tab w:val="left" w:pos="566"/>
                          </w:tabs>
                          <w:spacing w:after="0" w:line="240" w:lineRule="exact"/>
                          <w:jc w:val="center"/>
                          <w:rPr>
                            <w:rFonts w:ascii="Times New Roman" w:eastAsia="Times New Roman" w:hAnsi="Times New Roman" w:cs="Times New Roman"/>
                            <w:sz w:val="18"/>
                            <w:szCs w:val="18"/>
                          </w:rPr>
                        </w:pPr>
                        <w:r w:rsidRPr="002D2D2B">
                          <w:rPr>
                            <w:rFonts w:ascii="Times New Roman" w:eastAsia="Times New Roman" w:hAnsi="Times New Roman" w:cs="Times New Roman"/>
                            <w:sz w:val="18"/>
                            <w:szCs w:val="18"/>
                          </w:rPr>
                          <w:t>28862</w:t>
                        </w:r>
                      </w:p>
                    </w:tc>
                  </w:tr>
                </w:tbl>
                <w:p w:rsidR="002D2D2B" w:rsidRPr="002D2D2B" w:rsidRDefault="002D2D2B" w:rsidP="002D2D2B">
                  <w:pPr>
                    <w:spacing w:before="100" w:beforeAutospacing="1" w:after="100" w:afterAutospacing="1" w:line="240" w:lineRule="exact"/>
                    <w:jc w:val="center"/>
                    <w:rPr>
                      <w:rFonts w:ascii="Times New Roman" w:eastAsia="Times New Roman" w:hAnsi="Times New Roman" w:cs="Times New Roman"/>
                      <w:b/>
                      <w:sz w:val="18"/>
                      <w:szCs w:val="18"/>
                      <w:lang w:eastAsia="tr-TR"/>
                    </w:rPr>
                  </w:pPr>
                </w:p>
                <w:p w:rsidR="002D2D2B" w:rsidRPr="002D2D2B" w:rsidRDefault="002D2D2B" w:rsidP="002D2D2B">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2D2D2B" w:rsidRPr="002D2D2B" w:rsidRDefault="002D2D2B" w:rsidP="002D2D2B">
            <w:pPr>
              <w:spacing w:after="0" w:line="240" w:lineRule="auto"/>
              <w:jc w:val="center"/>
              <w:rPr>
                <w:rFonts w:ascii="Times New Roman" w:eastAsia="Times New Roman" w:hAnsi="Times New Roman" w:cs="Times New Roman"/>
                <w:sz w:val="20"/>
                <w:szCs w:val="20"/>
                <w:lang w:eastAsia="tr-TR"/>
              </w:rPr>
            </w:pPr>
          </w:p>
        </w:tc>
      </w:tr>
    </w:tbl>
    <w:p w:rsidR="002D2D2B" w:rsidRPr="002D2D2B" w:rsidRDefault="002D2D2B" w:rsidP="002D2D2B">
      <w:pPr>
        <w:spacing w:after="0" w:line="240" w:lineRule="auto"/>
        <w:jc w:val="center"/>
        <w:rPr>
          <w:rFonts w:ascii="Times New Roman" w:eastAsia="Times New Roman" w:hAnsi="Times New Roman" w:cs="Times New Roman"/>
          <w:sz w:val="24"/>
          <w:szCs w:val="24"/>
          <w:lang w:eastAsia="tr-TR"/>
        </w:rPr>
      </w:pPr>
    </w:p>
    <w:p w:rsidR="003304B3" w:rsidRDefault="003304B3"/>
    <w:sectPr w:rsidR="003304B3" w:rsidSect="003304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2D2B"/>
    <w:rsid w:val="002D2D2B"/>
    <w:rsid w:val="003304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4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D2D2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D2D2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D2D2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2D2D2B"/>
    <w:pPr>
      <w:tabs>
        <w:tab w:val="left" w:pos="566"/>
      </w:tabs>
      <w:spacing w:after="0" w:line="240" w:lineRule="auto"/>
      <w:jc w:val="both"/>
    </w:pPr>
    <w:rPr>
      <w:rFonts w:ascii="Times New Roman" w:eastAsia="Times New Roman" w:hAnsi="Times New Roman" w:cs="Times New Roman"/>
      <w:sz w:val="19"/>
      <w:szCs w:val="20"/>
    </w:rPr>
  </w:style>
  <w:style w:type="character" w:customStyle="1" w:styleId="Normal1">
    <w:name w:val="Normal1"/>
    <w:rsid w:val="002D2D2B"/>
    <w:rPr>
      <w:rFonts w:ascii="Times New Roman" w:eastAsia="Times New Roman" w:hAnsi="Times New Roman" w:cs="Times New Roman" w:hint="default"/>
      <w:noProof w:val="0"/>
      <w:sz w:val="24"/>
      <w:lang w:val="en-GB"/>
    </w:rPr>
  </w:style>
  <w:style w:type="paragraph" w:customStyle="1" w:styleId="metin">
    <w:name w:val="metin"/>
    <w:basedOn w:val="Normal"/>
    <w:rsid w:val="002D2D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57129769">
      <w:bodyDiv w:val="1"/>
      <w:marLeft w:val="0"/>
      <w:marRight w:val="0"/>
      <w:marTop w:val="0"/>
      <w:marBottom w:val="0"/>
      <w:divBdr>
        <w:top w:val="none" w:sz="0" w:space="0" w:color="auto"/>
        <w:left w:val="none" w:sz="0" w:space="0" w:color="auto"/>
        <w:bottom w:val="none" w:sz="0" w:space="0" w:color="auto"/>
        <w:right w:val="none" w:sz="0" w:space="0" w:color="auto"/>
      </w:divBdr>
      <w:divsChild>
        <w:div w:id="781925226">
          <w:marLeft w:val="0"/>
          <w:marRight w:val="0"/>
          <w:marTop w:val="0"/>
          <w:marBottom w:val="0"/>
          <w:divBdr>
            <w:top w:val="none" w:sz="0" w:space="0" w:color="auto"/>
            <w:left w:val="none" w:sz="0" w:space="0" w:color="auto"/>
            <w:bottom w:val="none" w:sz="0" w:space="0" w:color="auto"/>
            <w:right w:val="none" w:sz="0" w:space="0" w:color="auto"/>
          </w:divBdr>
          <w:divsChild>
            <w:div w:id="262106454">
              <w:marLeft w:val="0"/>
              <w:marRight w:val="0"/>
              <w:marTop w:val="0"/>
              <w:marBottom w:val="0"/>
              <w:divBdr>
                <w:top w:val="none" w:sz="0" w:space="0" w:color="auto"/>
                <w:left w:val="none" w:sz="0" w:space="0" w:color="auto"/>
                <w:bottom w:val="none" w:sz="0" w:space="0" w:color="auto"/>
                <w:right w:val="none" w:sz="0" w:space="0" w:color="auto"/>
              </w:divBdr>
              <w:divsChild>
                <w:div w:id="685789040">
                  <w:marLeft w:val="0"/>
                  <w:marRight w:val="0"/>
                  <w:marTop w:val="0"/>
                  <w:marBottom w:val="0"/>
                  <w:divBdr>
                    <w:top w:val="none" w:sz="0" w:space="0" w:color="auto"/>
                    <w:left w:val="none" w:sz="0" w:space="0" w:color="auto"/>
                    <w:bottom w:val="none" w:sz="0" w:space="0" w:color="auto"/>
                    <w:right w:val="none" w:sz="0" w:space="0" w:color="auto"/>
                  </w:divBdr>
                  <w:divsChild>
                    <w:div w:id="1567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2016-02-10T06:52:00Z</dcterms:created>
  <dcterms:modified xsi:type="dcterms:W3CDTF">2016-02-10T06:52:00Z</dcterms:modified>
</cp:coreProperties>
</file>