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22808" w:rsidRPr="00B22808" w:rsidTr="00B22808">
        <w:trPr>
          <w:jc w:val="center"/>
        </w:trPr>
        <w:tc>
          <w:tcPr>
            <w:tcW w:w="9104" w:type="dxa"/>
            <w:hideMark/>
          </w:tcPr>
          <w:tbl>
            <w:tblPr>
              <w:tblW w:w="8789" w:type="dxa"/>
              <w:jc w:val="center"/>
              <w:tblLook w:val="01E0"/>
            </w:tblPr>
            <w:tblGrid>
              <w:gridCol w:w="2931"/>
              <w:gridCol w:w="2931"/>
              <w:gridCol w:w="2927"/>
            </w:tblGrid>
            <w:tr w:rsidR="00B22808" w:rsidRPr="00B22808">
              <w:trPr>
                <w:trHeight w:val="317"/>
                <w:jc w:val="center"/>
              </w:trPr>
              <w:tc>
                <w:tcPr>
                  <w:tcW w:w="2931" w:type="dxa"/>
                  <w:tcBorders>
                    <w:top w:val="nil"/>
                    <w:left w:val="nil"/>
                    <w:bottom w:val="single" w:sz="4" w:space="0" w:color="660066"/>
                    <w:right w:val="nil"/>
                  </w:tcBorders>
                  <w:vAlign w:val="center"/>
                  <w:hideMark/>
                </w:tcPr>
                <w:p w:rsidR="00B22808" w:rsidRPr="00B22808" w:rsidRDefault="00B22808" w:rsidP="00B2280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22808">
                    <w:rPr>
                      <w:rFonts w:ascii="Arial" w:eastAsia="Times New Roman" w:hAnsi="Arial" w:cs="Arial"/>
                      <w:sz w:val="16"/>
                      <w:szCs w:val="16"/>
                      <w:lang w:eastAsia="tr-TR"/>
                    </w:rPr>
                    <w:t>18 Mart 2016 CUMA</w:t>
                  </w:r>
                </w:p>
              </w:tc>
              <w:tc>
                <w:tcPr>
                  <w:tcW w:w="2931" w:type="dxa"/>
                  <w:tcBorders>
                    <w:top w:val="nil"/>
                    <w:left w:val="nil"/>
                    <w:bottom w:val="single" w:sz="4" w:space="0" w:color="660066"/>
                    <w:right w:val="nil"/>
                  </w:tcBorders>
                  <w:vAlign w:val="center"/>
                  <w:hideMark/>
                </w:tcPr>
                <w:p w:rsidR="00B22808" w:rsidRPr="00B22808" w:rsidRDefault="00B22808" w:rsidP="00B2280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2280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22808" w:rsidRPr="00B22808" w:rsidRDefault="00B22808" w:rsidP="00B22808">
                  <w:pPr>
                    <w:spacing w:before="100" w:beforeAutospacing="1" w:after="100" w:afterAutospacing="1" w:line="240" w:lineRule="auto"/>
                    <w:jc w:val="right"/>
                    <w:rPr>
                      <w:rFonts w:ascii="Arial" w:eastAsia="Times New Roman" w:hAnsi="Arial" w:cs="Arial"/>
                      <w:sz w:val="16"/>
                      <w:szCs w:val="16"/>
                      <w:lang w:eastAsia="tr-TR"/>
                    </w:rPr>
                  </w:pPr>
                  <w:proofErr w:type="gramStart"/>
                  <w:r w:rsidRPr="00B22808">
                    <w:rPr>
                      <w:rFonts w:ascii="Arial" w:eastAsia="Times New Roman" w:hAnsi="Arial" w:cs="Arial"/>
                      <w:sz w:val="16"/>
                      <w:szCs w:val="16"/>
                      <w:lang w:eastAsia="tr-TR"/>
                    </w:rPr>
                    <w:t>Sayı : 29657</w:t>
                  </w:r>
                  <w:proofErr w:type="gramEnd"/>
                </w:p>
              </w:tc>
            </w:tr>
            <w:tr w:rsidR="00B22808" w:rsidRPr="00B22808">
              <w:trPr>
                <w:trHeight w:val="480"/>
                <w:jc w:val="center"/>
              </w:trPr>
              <w:tc>
                <w:tcPr>
                  <w:tcW w:w="8789" w:type="dxa"/>
                  <w:gridSpan w:val="3"/>
                  <w:vAlign w:val="center"/>
                  <w:hideMark/>
                </w:tcPr>
                <w:p w:rsidR="00B22808" w:rsidRPr="00B22808" w:rsidRDefault="00B22808" w:rsidP="00B22808">
                  <w:pPr>
                    <w:spacing w:before="100" w:beforeAutospacing="1" w:after="100" w:afterAutospacing="1" w:line="240" w:lineRule="auto"/>
                    <w:jc w:val="center"/>
                    <w:rPr>
                      <w:rFonts w:ascii="Arial" w:eastAsia="Times New Roman" w:hAnsi="Arial" w:cs="Arial"/>
                      <w:b/>
                      <w:color w:val="000080"/>
                      <w:sz w:val="18"/>
                      <w:szCs w:val="18"/>
                      <w:lang w:eastAsia="tr-TR"/>
                    </w:rPr>
                  </w:pPr>
                  <w:r w:rsidRPr="00B22808">
                    <w:rPr>
                      <w:rFonts w:ascii="Arial" w:eastAsia="Times New Roman" w:hAnsi="Arial" w:cs="Arial"/>
                      <w:b/>
                      <w:color w:val="000080"/>
                      <w:sz w:val="18"/>
                      <w:szCs w:val="18"/>
                      <w:lang w:eastAsia="tr-TR"/>
                    </w:rPr>
                    <w:t>YÖNETMELİK</w:t>
                  </w:r>
                </w:p>
              </w:tc>
            </w:tr>
            <w:tr w:rsidR="00B22808" w:rsidRPr="00B22808">
              <w:trPr>
                <w:trHeight w:val="480"/>
                <w:jc w:val="center"/>
              </w:trPr>
              <w:tc>
                <w:tcPr>
                  <w:tcW w:w="8789" w:type="dxa"/>
                  <w:gridSpan w:val="3"/>
                  <w:vAlign w:val="center"/>
                  <w:hideMark/>
                </w:tcPr>
                <w:p w:rsidR="00B22808" w:rsidRPr="00B22808" w:rsidRDefault="00B22808" w:rsidP="00B2280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22808">
                    <w:rPr>
                      <w:rFonts w:ascii="Times New Roman" w:eastAsia="Times New Roman" w:hAnsi="Times New Roman" w:cs="Times New Roman"/>
                      <w:sz w:val="18"/>
                      <w:szCs w:val="18"/>
                      <w:u w:val="single"/>
                      <w:lang w:eastAsia="tr-TR"/>
                    </w:rPr>
                    <w:t>Maliye Bakanlığından:</w:t>
                  </w:r>
                </w:p>
                <w:p w:rsidR="00B22808" w:rsidRPr="00B22808" w:rsidRDefault="00B22808" w:rsidP="00B2280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B22808">
                    <w:rPr>
                      <w:rFonts w:ascii="Times New Roman" w:eastAsia="Times New Roman" w:hAnsi="Times New Roman" w:cs="Times New Roman"/>
                      <w:b/>
                      <w:bCs/>
                      <w:sz w:val="18"/>
                      <w:szCs w:val="18"/>
                      <w:lang w:eastAsia="tr-TR"/>
                    </w:rPr>
                    <w:t>SUÇ GELİRLERİNİN AKLANMASININ VE TERÖRÜN FİNANSMANININ</w:t>
                  </w:r>
                </w:p>
                <w:p w:rsidR="00B22808" w:rsidRPr="00B22808" w:rsidRDefault="00B22808" w:rsidP="00B22808">
                  <w:pPr>
                    <w:tabs>
                      <w:tab w:val="left" w:pos="566"/>
                    </w:tabs>
                    <w:spacing w:after="0" w:line="240" w:lineRule="exact"/>
                    <w:jc w:val="center"/>
                    <w:rPr>
                      <w:rFonts w:ascii="Times New Roman" w:eastAsia="Times New Roman" w:hAnsi="Times New Roman" w:cs="Times New Roman"/>
                      <w:b/>
                      <w:bCs/>
                      <w:sz w:val="18"/>
                      <w:szCs w:val="18"/>
                      <w:lang w:eastAsia="tr-TR"/>
                    </w:rPr>
                  </w:pPr>
                  <w:r w:rsidRPr="00B22808">
                    <w:rPr>
                      <w:rFonts w:ascii="Times New Roman" w:eastAsia="Times New Roman" w:hAnsi="Times New Roman" w:cs="Times New Roman"/>
                      <w:b/>
                      <w:bCs/>
                      <w:sz w:val="18"/>
                      <w:szCs w:val="18"/>
                      <w:lang w:eastAsia="tr-TR"/>
                    </w:rPr>
                    <w:t>ÖNLENMESİNE İLİŞKİN YÜKÜMLÜLÜKLERE UYUM PROGRAMI</w:t>
                  </w:r>
                </w:p>
                <w:p w:rsidR="00B22808" w:rsidRPr="00B22808" w:rsidRDefault="00B22808" w:rsidP="00B22808">
                  <w:pPr>
                    <w:tabs>
                      <w:tab w:val="left" w:pos="566"/>
                    </w:tabs>
                    <w:spacing w:after="0" w:line="240" w:lineRule="exact"/>
                    <w:jc w:val="center"/>
                    <w:rPr>
                      <w:rFonts w:ascii="Times New Roman" w:eastAsia="Times New Roman" w:hAnsi="Times New Roman" w:cs="Times New Roman"/>
                      <w:b/>
                      <w:bCs/>
                      <w:sz w:val="18"/>
                      <w:szCs w:val="18"/>
                      <w:lang w:eastAsia="tr-TR"/>
                    </w:rPr>
                  </w:pPr>
                  <w:r w:rsidRPr="00B22808">
                    <w:rPr>
                      <w:rFonts w:ascii="Times New Roman" w:eastAsia="Times New Roman" w:hAnsi="Times New Roman" w:cs="Times New Roman"/>
                      <w:b/>
                      <w:bCs/>
                      <w:sz w:val="18"/>
                      <w:szCs w:val="18"/>
                      <w:lang w:eastAsia="tr-TR"/>
                    </w:rPr>
                    <w:t>HAKKINDA YÖNETMELİKTE DEĞİŞİKLİK</w:t>
                  </w:r>
                </w:p>
                <w:p w:rsidR="00B22808" w:rsidRPr="00B22808" w:rsidRDefault="00B22808" w:rsidP="00B22808">
                  <w:pPr>
                    <w:tabs>
                      <w:tab w:val="left" w:pos="566"/>
                    </w:tabs>
                    <w:spacing w:after="170" w:line="240" w:lineRule="exact"/>
                    <w:jc w:val="center"/>
                    <w:rPr>
                      <w:rFonts w:ascii="Times New Roman" w:eastAsia="Times New Roman" w:hAnsi="Times New Roman" w:cs="Times New Roman"/>
                      <w:b/>
                      <w:bCs/>
                      <w:sz w:val="18"/>
                      <w:szCs w:val="18"/>
                      <w:lang w:eastAsia="tr-TR"/>
                    </w:rPr>
                  </w:pPr>
                  <w:r w:rsidRPr="00B22808">
                    <w:rPr>
                      <w:rFonts w:ascii="Times New Roman" w:eastAsia="Times New Roman" w:hAnsi="Times New Roman" w:cs="Times New Roman"/>
                      <w:b/>
                      <w:bCs/>
                      <w:sz w:val="18"/>
                      <w:szCs w:val="18"/>
                      <w:lang w:eastAsia="tr-TR"/>
                    </w:rPr>
                    <w:t>YAPILMASINA DAİR YÖNETMELİK</w:t>
                  </w:r>
                </w:p>
                <w:p w:rsidR="00B22808" w:rsidRPr="00B22808" w:rsidRDefault="00B22808" w:rsidP="00B22808">
                  <w:pPr>
                    <w:spacing w:before="100" w:beforeAutospacing="1" w:after="100" w:afterAutospacing="1" w:line="240" w:lineRule="exact"/>
                    <w:rPr>
                      <w:rFonts w:ascii="Times New Roman" w:eastAsia="Times New Roman" w:hAnsi="Times New Roman" w:cs="Times New Roman"/>
                      <w:sz w:val="18"/>
                      <w:szCs w:val="18"/>
                      <w:lang w:eastAsia="tr-TR"/>
                    </w:rPr>
                  </w:pPr>
                  <w:r w:rsidRPr="00B22808">
                    <w:rPr>
                      <w:rFonts w:ascii="Times New Roman" w:eastAsia="Times New Roman" w:hAnsi="Times New Roman" w:cs="Times New Roman"/>
                      <w:b/>
                      <w:bCs/>
                      <w:sz w:val="18"/>
                      <w:szCs w:val="18"/>
                      <w:lang w:eastAsia="tr-TR"/>
                    </w:rPr>
                    <w:t xml:space="preserve">MADDE 1 – </w:t>
                  </w:r>
                  <w:proofErr w:type="gramStart"/>
                  <w:r w:rsidRPr="00B22808">
                    <w:rPr>
                      <w:rFonts w:ascii="Times New Roman" w:eastAsia="Times New Roman" w:hAnsi="Times New Roman" w:cs="Times New Roman"/>
                      <w:sz w:val="18"/>
                      <w:szCs w:val="18"/>
                      <w:lang w:eastAsia="tr-TR"/>
                    </w:rPr>
                    <w:t>16/9/2008</w:t>
                  </w:r>
                  <w:proofErr w:type="gramEnd"/>
                  <w:r w:rsidRPr="00B22808">
                    <w:rPr>
                      <w:rFonts w:ascii="Times New Roman" w:eastAsia="Times New Roman" w:hAnsi="Times New Roman" w:cs="Times New Roman"/>
                      <w:sz w:val="18"/>
                      <w:szCs w:val="18"/>
                      <w:lang w:eastAsia="tr-TR"/>
                    </w:rPr>
                    <w:t xml:space="preserve"> tarihli ve 26999 sayılı Resmî Gazete’de yayımlanan Suç Gelirlerinin Aklanmasının ve Terörün Finansmanının Önlenmesine İlişkin Yükümlülüklere Uyum Programı Hakkında Yönetmeliğin 16 </w:t>
                  </w:r>
                  <w:proofErr w:type="spellStart"/>
                  <w:r w:rsidRPr="00B22808">
                    <w:rPr>
                      <w:rFonts w:ascii="Times New Roman" w:eastAsia="Times New Roman" w:hAnsi="Times New Roman" w:cs="Times New Roman"/>
                      <w:sz w:val="18"/>
                      <w:szCs w:val="18"/>
                      <w:lang w:eastAsia="tr-TR"/>
                    </w:rPr>
                    <w:t>ncı</w:t>
                  </w:r>
                  <w:proofErr w:type="spellEnd"/>
                  <w:r w:rsidRPr="00B22808">
                    <w:rPr>
                      <w:rFonts w:ascii="Times New Roman" w:eastAsia="Times New Roman" w:hAnsi="Times New Roman" w:cs="Times New Roman"/>
                      <w:sz w:val="18"/>
                      <w:szCs w:val="18"/>
                      <w:lang w:eastAsia="tr-TR"/>
                    </w:rPr>
                    <w:t xml:space="preserve"> maddesinin birinci fıkrasının birinci cümlesine “Yükümlüler,” ibaresinden sonra gelmek üzere “faaliyet izninin alınmasını müteakip otuz gün içerisinde” ibaresi eklenmiştir.</w:t>
                  </w:r>
                </w:p>
                <w:p w:rsidR="00B22808" w:rsidRPr="00B22808" w:rsidRDefault="00B22808" w:rsidP="00B22808">
                  <w:pPr>
                    <w:spacing w:before="100" w:beforeAutospacing="1" w:after="100" w:afterAutospacing="1" w:line="240" w:lineRule="exact"/>
                    <w:rPr>
                      <w:rFonts w:ascii="Times New Roman" w:eastAsia="Times New Roman" w:hAnsi="Times New Roman" w:cs="Times New Roman"/>
                      <w:sz w:val="18"/>
                      <w:szCs w:val="18"/>
                      <w:lang w:eastAsia="tr-TR"/>
                    </w:rPr>
                  </w:pPr>
                  <w:r w:rsidRPr="00B22808">
                    <w:rPr>
                      <w:rFonts w:ascii="Times New Roman" w:eastAsia="Times New Roman" w:hAnsi="Times New Roman" w:cs="Times New Roman"/>
                      <w:b/>
                      <w:sz w:val="18"/>
                      <w:szCs w:val="18"/>
                      <w:lang w:eastAsia="tr-TR"/>
                    </w:rPr>
                    <w:t>MADDE 2 –</w:t>
                  </w:r>
                  <w:r w:rsidRPr="00B22808">
                    <w:rPr>
                      <w:rFonts w:ascii="Times New Roman" w:eastAsia="Times New Roman" w:hAnsi="Times New Roman" w:cs="Times New Roman"/>
                      <w:sz w:val="18"/>
                      <w:szCs w:val="18"/>
                      <w:lang w:eastAsia="tr-TR"/>
                    </w:rPr>
                    <w:t xml:space="preserve"> Aynı Yönetmeliğin 29 uncu maddesinin birinci fıkrası aşağıdaki şekilde değiştirilmiştir.</w:t>
                  </w:r>
                </w:p>
                <w:p w:rsidR="00B22808" w:rsidRPr="00B22808" w:rsidRDefault="00B22808" w:rsidP="00B22808">
                  <w:pPr>
                    <w:spacing w:before="100" w:beforeAutospacing="1" w:after="100" w:afterAutospacing="1" w:line="240" w:lineRule="exact"/>
                    <w:rPr>
                      <w:rFonts w:ascii="Times New Roman" w:eastAsia="Times New Roman" w:hAnsi="Times New Roman" w:cs="Times New Roman"/>
                      <w:sz w:val="18"/>
                      <w:szCs w:val="18"/>
                      <w:lang w:eastAsia="tr-TR"/>
                    </w:rPr>
                  </w:pPr>
                  <w:r w:rsidRPr="00B22808">
                    <w:rPr>
                      <w:rFonts w:ascii="Times New Roman" w:eastAsia="Times New Roman" w:hAnsi="Times New Roman" w:cs="Times New Roman"/>
                      <w:sz w:val="18"/>
                      <w:szCs w:val="18"/>
                      <w:lang w:eastAsia="tr-TR"/>
                    </w:rPr>
                    <w:t xml:space="preserve">“(1) Tedbirler Yönetmeliğinin 4 üncü maddesinin birinci fıkrasında sayılan yükümlülerden; Türkiye Cumhuriyet Merkez Bankası ile kalkınma ve yatırım bankaları, bankalar dışında banka kartı veya kredi kartı düzenleme yetkisini haiz kuruluşlar, kambiyo mevzuatında belirtilen yetkili müesseseler, finansman ve </w:t>
                  </w:r>
                  <w:proofErr w:type="spellStart"/>
                  <w:r w:rsidRPr="00B22808">
                    <w:rPr>
                      <w:rFonts w:ascii="Times New Roman" w:eastAsia="Times New Roman" w:hAnsi="Times New Roman" w:cs="Times New Roman"/>
                      <w:sz w:val="18"/>
                      <w:szCs w:val="18"/>
                      <w:lang w:eastAsia="tr-TR"/>
                    </w:rPr>
                    <w:t>faktoring</w:t>
                  </w:r>
                  <w:proofErr w:type="spellEnd"/>
                  <w:r w:rsidRPr="00B22808">
                    <w:rPr>
                      <w:rFonts w:ascii="Times New Roman" w:eastAsia="Times New Roman" w:hAnsi="Times New Roman" w:cs="Times New Roman"/>
                      <w:sz w:val="18"/>
                      <w:szCs w:val="18"/>
                      <w:lang w:eastAsia="tr-TR"/>
                    </w:rPr>
                    <w:t xml:space="preserve"> şirketleri, </w:t>
                  </w:r>
                  <w:proofErr w:type="gramStart"/>
                  <w:r w:rsidRPr="00B22808">
                    <w:rPr>
                      <w:rFonts w:ascii="Times New Roman" w:eastAsia="Times New Roman" w:hAnsi="Times New Roman" w:cs="Times New Roman"/>
                      <w:sz w:val="18"/>
                      <w:szCs w:val="18"/>
                      <w:lang w:eastAsia="tr-TR"/>
                    </w:rPr>
                    <w:t>reasürans</w:t>
                  </w:r>
                  <w:proofErr w:type="gramEnd"/>
                  <w:r w:rsidRPr="00B22808">
                    <w:rPr>
                      <w:rFonts w:ascii="Times New Roman" w:eastAsia="Times New Roman" w:hAnsi="Times New Roman" w:cs="Times New Roman"/>
                      <w:sz w:val="18"/>
                      <w:szCs w:val="18"/>
                      <w:lang w:eastAsia="tr-TR"/>
                    </w:rPr>
                    <w:t xml:space="preserve"> şirketleri, finansal kiralama şirketleri, ödeme kuruluşları, elektronik para kuruluşları, portföy yönetim şirketleri, kargo şirketleri ve sermaye piyasası mevzuatı çerçevesinde takas ve saklama hizmeti veren kuruluşlar faaliyet izninin alınmasını müteakip otuz gün içerisinde bu Yönetmelikte bahsedilen uyum programını oluşturmaksızın idari düzeyde uyum görevlisi atamak zorundadır. Bu madde uyarınca atanacak uyum görevlisinin uhdesinde başka görevler de bulunabilir.”</w:t>
                  </w:r>
                </w:p>
                <w:p w:rsidR="00B22808" w:rsidRPr="00B22808" w:rsidRDefault="00B22808" w:rsidP="00B22808">
                  <w:pPr>
                    <w:spacing w:before="100" w:beforeAutospacing="1" w:after="100" w:afterAutospacing="1" w:line="240" w:lineRule="exact"/>
                    <w:rPr>
                      <w:rFonts w:ascii="Times New Roman" w:eastAsia="Times New Roman" w:hAnsi="Times New Roman" w:cs="Times New Roman"/>
                      <w:sz w:val="18"/>
                      <w:szCs w:val="18"/>
                      <w:lang w:eastAsia="tr-TR"/>
                    </w:rPr>
                  </w:pPr>
                  <w:r w:rsidRPr="00B22808">
                    <w:rPr>
                      <w:rFonts w:ascii="Times New Roman" w:eastAsia="Times New Roman" w:hAnsi="Times New Roman" w:cs="Times New Roman"/>
                      <w:b/>
                      <w:sz w:val="18"/>
                      <w:szCs w:val="18"/>
                      <w:lang w:eastAsia="tr-TR"/>
                    </w:rPr>
                    <w:t xml:space="preserve">MADDE 3 – </w:t>
                  </w:r>
                  <w:r w:rsidRPr="00B22808">
                    <w:rPr>
                      <w:rFonts w:ascii="Times New Roman" w:eastAsia="Times New Roman" w:hAnsi="Times New Roman" w:cs="Times New Roman"/>
                      <w:sz w:val="18"/>
                      <w:szCs w:val="18"/>
                      <w:lang w:eastAsia="tr-TR"/>
                    </w:rPr>
                    <w:t>Aynı Yönetmeliğin geçici 1 inci maddesine aşağıdaki fıkra eklenmiştir.</w:t>
                  </w:r>
                </w:p>
                <w:p w:rsidR="00B22808" w:rsidRPr="00B22808" w:rsidRDefault="00B22808" w:rsidP="00B22808">
                  <w:pPr>
                    <w:spacing w:before="100" w:beforeAutospacing="1" w:after="100" w:afterAutospacing="1" w:line="240" w:lineRule="exact"/>
                    <w:rPr>
                      <w:rFonts w:ascii="Times New Roman" w:eastAsia="Times New Roman" w:hAnsi="Times New Roman" w:cs="Times New Roman"/>
                      <w:sz w:val="18"/>
                      <w:szCs w:val="18"/>
                      <w:lang w:eastAsia="tr-TR"/>
                    </w:rPr>
                  </w:pPr>
                  <w:r w:rsidRPr="00B22808">
                    <w:rPr>
                      <w:rFonts w:ascii="Times New Roman" w:eastAsia="Times New Roman" w:hAnsi="Times New Roman" w:cs="Times New Roman"/>
                      <w:sz w:val="18"/>
                      <w:szCs w:val="18"/>
                      <w:lang w:eastAsia="tr-TR"/>
                    </w:rPr>
                    <w:t xml:space="preserve">“(3) Halihazırda faaliyet izni almış bulunan ödeme kuruluşları ve elektronik para kuruluşları ile </w:t>
                  </w:r>
                  <w:proofErr w:type="gramStart"/>
                  <w:r w:rsidRPr="00B22808">
                    <w:rPr>
                      <w:rFonts w:ascii="Times New Roman" w:eastAsia="Times New Roman" w:hAnsi="Times New Roman" w:cs="Times New Roman"/>
                      <w:sz w:val="18"/>
                      <w:szCs w:val="18"/>
                      <w:lang w:eastAsia="tr-TR"/>
                    </w:rPr>
                    <w:t>portföy</w:t>
                  </w:r>
                  <w:proofErr w:type="gramEnd"/>
                  <w:r w:rsidRPr="00B22808">
                    <w:rPr>
                      <w:rFonts w:ascii="Times New Roman" w:eastAsia="Times New Roman" w:hAnsi="Times New Roman" w:cs="Times New Roman"/>
                      <w:sz w:val="18"/>
                      <w:szCs w:val="18"/>
                      <w:lang w:eastAsia="tr-TR"/>
                    </w:rPr>
                    <w:t xml:space="preserve"> yönetim şirketleri ve kargo şirketleri bu Yönetmeliğin 30 uncu maddesinde yazılı şartları haiz uyum görevlisini 1/3/2016 tarihine kadar atarlar.”</w:t>
                  </w:r>
                </w:p>
                <w:p w:rsidR="00B22808" w:rsidRPr="00B22808" w:rsidRDefault="00B22808" w:rsidP="00B22808">
                  <w:pPr>
                    <w:spacing w:before="100" w:beforeAutospacing="1" w:after="100" w:afterAutospacing="1" w:line="240" w:lineRule="exact"/>
                    <w:rPr>
                      <w:rFonts w:ascii="Times New Roman" w:eastAsia="Times New Roman" w:hAnsi="Times New Roman" w:cs="Times New Roman"/>
                      <w:sz w:val="18"/>
                      <w:szCs w:val="18"/>
                      <w:lang w:eastAsia="tr-TR"/>
                    </w:rPr>
                  </w:pPr>
                  <w:r w:rsidRPr="00B22808">
                    <w:rPr>
                      <w:rFonts w:ascii="Times New Roman" w:eastAsia="Times New Roman" w:hAnsi="Times New Roman" w:cs="Times New Roman"/>
                      <w:b/>
                      <w:sz w:val="18"/>
                      <w:szCs w:val="18"/>
                      <w:lang w:eastAsia="tr-TR"/>
                    </w:rPr>
                    <w:t>MADDE 4 –</w:t>
                  </w:r>
                  <w:r w:rsidRPr="00B22808">
                    <w:rPr>
                      <w:rFonts w:ascii="Times New Roman" w:eastAsia="Times New Roman" w:hAnsi="Times New Roman" w:cs="Times New Roman"/>
                      <w:sz w:val="18"/>
                      <w:szCs w:val="18"/>
                      <w:lang w:eastAsia="tr-TR"/>
                    </w:rPr>
                    <w:t xml:space="preserve"> Bu Yönetmelik yayımı tarihinde yürürlüğe girer.</w:t>
                  </w:r>
                </w:p>
                <w:p w:rsidR="00B22808" w:rsidRPr="00B22808" w:rsidRDefault="00B22808" w:rsidP="00B22808">
                  <w:pPr>
                    <w:spacing w:before="100" w:beforeAutospacing="1" w:line="240" w:lineRule="exact"/>
                    <w:ind w:firstLine="567"/>
                    <w:rPr>
                      <w:rFonts w:ascii="Times New Roman" w:eastAsia="Times New Roman" w:hAnsi="Times New Roman" w:cs="Times New Roman"/>
                      <w:sz w:val="18"/>
                      <w:szCs w:val="18"/>
                      <w:lang w:eastAsia="tr-TR"/>
                    </w:rPr>
                  </w:pPr>
                  <w:r w:rsidRPr="00B22808">
                    <w:rPr>
                      <w:rFonts w:ascii="Times New Roman" w:eastAsia="Times New Roman" w:hAnsi="Times New Roman" w:cs="Times New Roman"/>
                      <w:b/>
                      <w:sz w:val="18"/>
                      <w:szCs w:val="18"/>
                      <w:lang w:eastAsia="tr-TR"/>
                    </w:rPr>
                    <w:t xml:space="preserve">MADDE 5 – </w:t>
                  </w:r>
                  <w:r w:rsidRPr="00B22808">
                    <w:rPr>
                      <w:rFonts w:ascii="Times New Roman" w:eastAsia="Times New Roman" w:hAnsi="Times New Roman" w:cs="Times New Roman"/>
                      <w:sz w:val="18"/>
                      <w:szCs w:val="18"/>
                      <w:lang w:eastAsia="tr-TR"/>
                    </w:rPr>
                    <w:t>Bu Yönetmelik hükümlerini Maliye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B22808" w:rsidRPr="00B22808">
                    <w:trPr>
                      <w:jc w:val="center"/>
                    </w:trPr>
                    <w:tc>
                      <w:tcPr>
                        <w:tcW w:w="8505" w:type="dxa"/>
                        <w:gridSpan w:val="3"/>
                        <w:tcBorders>
                          <w:top w:val="single" w:sz="4" w:space="0" w:color="auto"/>
                          <w:left w:val="single" w:sz="4" w:space="0" w:color="auto"/>
                          <w:bottom w:val="nil"/>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b/>
                            <w:sz w:val="18"/>
                            <w:szCs w:val="18"/>
                          </w:rPr>
                        </w:pPr>
                        <w:r w:rsidRPr="00B22808">
                          <w:rPr>
                            <w:rFonts w:ascii="Times New Roman" w:eastAsia="Times New Roman" w:hAnsi="Times New Roman" w:cs="Times New Roman"/>
                            <w:b/>
                            <w:sz w:val="18"/>
                            <w:szCs w:val="18"/>
                          </w:rPr>
                          <w:t>Yönetmeliğin Yayımlandığı Resmî Gazete'nin</w:t>
                        </w:r>
                      </w:p>
                    </w:tc>
                  </w:tr>
                  <w:tr w:rsidR="00B22808" w:rsidRPr="00B22808">
                    <w:trPr>
                      <w:jc w:val="center"/>
                    </w:trPr>
                    <w:tc>
                      <w:tcPr>
                        <w:tcW w:w="4254" w:type="dxa"/>
                        <w:gridSpan w:val="2"/>
                        <w:tcBorders>
                          <w:top w:val="nil"/>
                          <w:left w:val="single" w:sz="4" w:space="0" w:color="auto"/>
                          <w:bottom w:val="single" w:sz="4" w:space="0" w:color="auto"/>
                          <w:right w:val="nil"/>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b/>
                            <w:sz w:val="18"/>
                            <w:szCs w:val="18"/>
                          </w:rPr>
                        </w:pPr>
                        <w:r w:rsidRPr="00B2280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b/>
                            <w:sz w:val="18"/>
                            <w:szCs w:val="18"/>
                          </w:rPr>
                        </w:pPr>
                        <w:r w:rsidRPr="00B22808">
                          <w:rPr>
                            <w:rFonts w:ascii="Times New Roman" w:eastAsia="Times New Roman" w:hAnsi="Times New Roman" w:cs="Times New Roman"/>
                            <w:b/>
                            <w:sz w:val="18"/>
                            <w:szCs w:val="18"/>
                          </w:rPr>
                          <w:t>Sayısı</w:t>
                        </w:r>
                      </w:p>
                    </w:tc>
                  </w:tr>
                  <w:tr w:rsidR="00B22808" w:rsidRPr="00B22808">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proofErr w:type="gramStart"/>
                        <w:r w:rsidRPr="00B22808">
                          <w:rPr>
                            <w:rFonts w:ascii="Times New Roman" w:eastAsia="Times New Roman" w:hAnsi="Times New Roman" w:cs="Times New Roman"/>
                            <w:sz w:val="18"/>
                            <w:szCs w:val="18"/>
                          </w:rPr>
                          <w:t>16/9/2008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r w:rsidRPr="00B22808">
                          <w:rPr>
                            <w:rFonts w:ascii="Times New Roman" w:eastAsia="Times New Roman" w:hAnsi="Times New Roman" w:cs="Times New Roman"/>
                            <w:sz w:val="18"/>
                            <w:szCs w:val="18"/>
                          </w:rPr>
                          <w:t>26999</w:t>
                        </w:r>
                      </w:p>
                    </w:tc>
                  </w:tr>
                  <w:tr w:rsidR="00B22808" w:rsidRPr="00B22808">
                    <w:trPr>
                      <w:jc w:val="center"/>
                    </w:trPr>
                    <w:tc>
                      <w:tcPr>
                        <w:tcW w:w="8505" w:type="dxa"/>
                        <w:gridSpan w:val="3"/>
                        <w:tcBorders>
                          <w:top w:val="single" w:sz="4" w:space="0" w:color="auto"/>
                          <w:left w:val="single" w:sz="4" w:space="0" w:color="auto"/>
                          <w:bottom w:val="nil"/>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b/>
                            <w:sz w:val="18"/>
                            <w:szCs w:val="18"/>
                          </w:rPr>
                        </w:pPr>
                        <w:r w:rsidRPr="00B22808">
                          <w:rPr>
                            <w:rFonts w:ascii="Times New Roman" w:eastAsia="Times New Roman" w:hAnsi="Times New Roman" w:cs="Times New Roman"/>
                            <w:b/>
                            <w:sz w:val="18"/>
                            <w:szCs w:val="18"/>
                          </w:rPr>
                          <w:t>Yönetmelikte Değişiklik Yapan Yönetmeliklerin Yayımlandığı Resmî Gazete'nin</w:t>
                        </w:r>
                      </w:p>
                    </w:tc>
                  </w:tr>
                  <w:tr w:rsidR="00B22808" w:rsidRPr="00B22808">
                    <w:trPr>
                      <w:jc w:val="center"/>
                    </w:trPr>
                    <w:tc>
                      <w:tcPr>
                        <w:tcW w:w="4254" w:type="dxa"/>
                        <w:gridSpan w:val="2"/>
                        <w:tcBorders>
                          <w:top w:val="nil"/>
                          <w:left w:val="single" w:sz="4" w:space="0" w:color="auto"/>
                          <w:bottom w:val="single" w:sz="4" w:space="0" w:color="auto"/>
                          <w:right w:val="nil"/>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b/>
                            <w:sz w:val="18"/>
                            <w:szCs w:val="18"/>
                          </w:rPr>
                        </w:pPr>
                        <w:r w:rsidRPr="00B2280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b/>
                            <w:sz w:val="18"/>
                            <w:szCs w:val="18"/>
                          </w:rPr>
                        </w:pPr>
                        <w:r w:rsidRPr="00B22808">
                          <w:rPr>
                            <w:rFonts w:ascii="Times New Roman" w:eastAsia="Times New Roman" w:hAnsi="Times New Roman" w:cs="Times New Roman"/>
                            <w:b/>
                            <w:sz w:val="18"/>
                            <w:szCs w:val="18"/>
                          </w:rPr>
                          <w:t>Sayısı</w:t>
                        </w:r>
                      </w:p>
                    </w:tc>
                  </w:tr>
                  <w:tr w:rsidR="00B22808" w:rsidRPr="00B22808">
                    <w:trPr>
                      <w:jc w:val="center"/>
                    </w:trPr>
                    <w:tc>
                      <w:tcPr>
                        <w:tcW w:w="437"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r w:rsidRPr="00B22808">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B22808">
                          <w:rPr>
                            <w:rFonts w:ascii="Times New Roman" w:eastAsia="Times New Roman" w:hAnsi="Times New Roman" w:cs="Times New Roman"/>
                            <w:sz w:val="18"/>
                            <w:szCs w:val="18"/>
                          </w:rPr>
                          <w:t>26/9/2008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r w:rsidRPr="00B22808">
                          <w:rPr>
                            <w:rFonts w:ascii="Times New Roman" w:eastAsia="Times New Roman" w:hAnsi="Times New Roman" w:cs="Times New Roman"/>
                            <w:sz w:val="18"/>
                            <w:szCs w:val="18"/>
                          </w:rPr>
                          <w:t>27009</w:t>
                        </w:r>
                      </w:p>
                    </w:tc>
                  </w:tr>
                  <w:tr w:rsidR="00B22808" w:rsidRPr="00B22808">
                    <w:trPr>
                      <w:jc w:val="center"/>
                    </w:trPr>
                    <w:tc>
                      <w:tcPr>
                        <w:tcW w:w="437"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r w:rsidRPr="00B22808">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B22808">
                          <w:rPr>
                            <w:rFonts w:ascii="Times New Roman" w:eastAsia="Times New Roman" w:hAnsi="Times New Roman" w:cs="Times New Roman"/>
                            <w:sz w:val="18"/>
                            <w:szCs w:val="18"/>
                          </w:rPr>
                          <w:t>2/1/2010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r w:rsidRPr="00B22808">
                          <w:rPr>
                            <w:rFonts w:ascii="Times New Roman" w:eastAsia="Times New Roman" w:hAnsi="Times New Roman" w:cs="Times New Roman"/>
                            <w:sz w:val="18"/>
                            <w:szCs w:val="18"/>
                          </w:rPr>
                          <w:t>27450</w:t>
                        </w:r>
                      </w:p>
                    </w:tc>
                  </w:tr>
                  <w:tr w:rsidR="00B22808" w:rsidRPr="00B22808">
                    <w:trPr>
                      <w:jc w:val="center"/>
                    </w:trPr>
                    <w:tc>
                      <w:tcPr>
                        <w:tcW w:w="437"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r w:rsidRPr="00B22808">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B22808">
                          <w:rPr>
                            <w:rFonts w:ascii="Times New Roman" w:eastAsia="Times New Roman" w:hAnsi="Times New Roman" w:cs="Times New Roman"/>
                            <w:sz w:val="18"/>
                            <w:szCs w:val="18"/>
                          </w:rPr>
                          <w:t>11/6/2014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2808" w:rsidRPr="00B22808" w:rsidRDefault="00B22808" w:rsidP="00B22808">
                        <w:pPr>
                          <w:tabs>
                            <w:tab w:val="left" w:pos="566"/>
                          </w:tabs>
                          <w:spacing w:after="0" w:line="240" w:lineRule="exact"/>
                          <w:jc w:val="center"/>
                          <w:rPr>
                            <w:rFonts w:ascii="Times New Roman" w:eastAsia="Times New Roman" w:hAnsi="Times New Roman" w:cs="Times New Roman"/>
                            <w:sz w:val="18"/>
                            <w:szCs w:val="18"/>
                          </w:rPr>
                        </w:pPr>
                        <w:r w:rsidRPr="00B22808">
                          <w:rPr>
                            <w:rFonts w:ascii="Times New Roman" w:eastAsia="Times New Roman" w:hAnsi="Times New Roman" w:cs="Times New Roman"/>
                            <w:sz w:val="18"/>
                            <w:szCs w:val="18"/>
                          </w:rPr>
                          <w:t>29027</w:t>
                        </w:r>
                      </w:p>
                    </w:tc>
                  </w:tr>
                </w:tbl>
                <w:p w:rsidR="00B22808" w:rsidRPr="00B22808" w:rsidRDefault="00B22808" w:rsidP="00B2280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22808" w:rsidRPr="00B22808" w:rsidRDefault="00B22808" w:rsidP="00B22808">
            <w:pPr>
              <w:spacing w:after="0" w:line="240" w:lineRule="auto"/>
              <w:jc w:val="center"/>
              <w:rPr>
                <w:rFonts w:ascii="Times New Roman" w:eastAsia="Times New Roman" w:hAnsi="Times New Roman" w:cs="Times New Roman"/>
                <w:sz w:val="20"/>
                <w:szCs w:val="20"/>
                <w:lang w:eastAsia="tr-TR"/>
              </w:rPr>
            </w:pPr>
          </w:p>
        </w:tc>
      </w:tr>
    </w:tbl>
    <w:p w:rsidR="00B22808" w:rsidRPr="00B22808" w:rsidRDefault="00B22808" w:rsidP="00B22808">
      <w:pPr>
        <w:spacing w:after="0" w:line="240" w:lineRule="auto"/>
        <w:jc w:val="center"/>
        <w:rPr>
          <w:rFonts w:ascii="Times New Roman" w:eastAsia="Times New Roman" w:hAnsi="Times New Roman" w:cs="Times New Roman"/>
          <w:sz w:val="24"/>
          <w:szCs w:val="24"/>
          <w:lang w:eastAsia="tr-TR"/>
        </w:rPr>
      </w:pPr>
    </w:p>
    <w:p w:rsidR="00EE6705" w:rsidRDefault="00EE6705"/>
    <w:sectPr w:rsidR="00EE6705" w:rsidSect="00EE67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B22808"/>
    <w:rsid w:val="00B22808"/>
    <w:rsid w:val="00EE67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7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2280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2280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B2280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B2280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B228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6377876">
      <w:bodyDiv w:val="1"/>
      <w:marLeft w:val="0"/>
      <w:marRight w:val="0"/>
      <w:marTop w:val="0"/>
      <w:marBottom w:val="0"/>
      <w:divBdr>
        <w:top w:val="none" w:sz="0" w:space="0" w:color="auto"/>
        <w:left w:val="none" w:sz="0" w:space="0" w:color="auto"/>
        <w:bottom w:val="none" w:sz="0" w:space="0" w:color="auto"/>
        <w:right w:val="none" w:sz="0" w:space="0" w:color="auto"/>
      </w:divBdr>
      <w:divsChild>
        <w:div w:id="1410615921">
          <w:marLeft w:val="0"/>
          <w:marRight w:val="0"/>
          <w:marTop w:val="0"/>
          <w:marBottom w:val="0"/>
          <w:divBdr>
            <w:top w:val="none" w:sz="0" w:space="0" w:color="auto"/>
            <w:left w:val="none" w:sz="0" w:space="0" w:color="auto"/>
            <w:bottom w:val="none" w:sz="0" w:space="0" w:color="auto"/>
            <w:right w:val="none" w:sz="0" w:space="0" w:color="auto"/>
          </w:divBdr>
          <w:divsChild>
            <w:div w:id="402218580">
              <w:marLeft w:val="0"/>
              <w:marRight w:val="0"/>
              <w:marTop w:val="0"/>
              <w:marBottom w:val="0"/>
              <w:divBdr>
                <w:top w:val="none" w:sz="0" w:space="0" w:color="auto"/>
                <w:left w:val="none" w:sz="0" w:space="0" w:color="auto"/>
                <w:bottom w:val="none" w:sz="0" w:space="0" w:color="auto"/>
                <w:right w:val="none" w:sz="0" w:space="0" w:color="auto"/>
              </w:divBdr>
              <w:divsChild>
                <w:div w:id="1545171206">
                  <w:marLeft w:val="0"/>
                  <w:marRight w:val="0"/>
                  <w:marTop w:val="0"/>
                  <w:marBottom w:val="0"/>
                  <w:divBdr>
                    <w:top w:val="none" w:sz="0" w:space="0" w:color="auto"/>
                    <w:left w:val="none" w:sz="0" w:space="0" w:color="auto"/>
                    <w:bottom w:val="none" w:sz="0" w:space="0" w:color="auto"/>
                    <w:right w:val="none" w:sz="0" w:space="0" w:color="auto"/>
                  </w:divBdr>
                  <w:divsChild>
                    <w:div w:id="9025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2016-03-18T06:49:00Z</dcterms:created>
  <dcterms:modified xsi:type="dcterms:W3CDTF">2016-03-18T06:49:00Z</dcterms:modified>
</cp:coreProperties>
</file>