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24616" w:rsidRPr="00724616" w:rsidTr="0072461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24616" w:rsidRPr="0072461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24616" w:rsidRPr="00724616" w:rsidRDefault="00724616" w:rsidP="0072461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724616">
                    <w:rPr>
                      <w:rFonts w:ascii="Arial" w:eastAsia="Times New Roman" w:hAnsi="Arial" w:cs="Arial"/>
                      <w:sz w:val="16"/>
                      <w:szCs w:val="16"/>
                    </w:rPr>
                    <w:t>29 Mart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24616" w:rsidRPr="00724616" w:rsidRDefault="00724616" w:rsidP="0072461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</w:rPr>
                  </w:pPr>
                  <w:r w:rsidRPr="0072461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24616" w:rsidRPr="00724616" w:rsidRDefault="00724616" w:rsidP="0072461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724616">
                    <w:rPr>
                      <w:rFonts w:ascii="Arial" w:eastAsia="Times New Roman" w:hAnsi="Arial" w:cs="Arial"/>
                      <w:sz w:val="16"/>
                      <w:szCs w:val="16"/>
                    </w:rPr>
                    <w:t>Sayı : 29668</w:t>
                  </w:r>
                  <w:proofErr w:type="gramEnd"/>
                </w:p>
              </w:tc>
            </w:tr>
            <w:tr w:rsidR="00724616" w:rsidRPr="007246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24616" w:rsidRPr="00724616" w:rsidRDefault="00724616" w:rsidP="00724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</w:rPr>
                  </w:pPr>
                  <w:r w:rsidRPr="0072461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</w:rPr>
                    <w:t>YÖNETMELİK</w:t>
                  </w:r>
                </w:p>
              </w:tc>
            </w:tr>
            <w:tr w:rsidR="00724616" w:rsidRPr="0072461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24616" w:rsidRPr="00724616" w:rsidRDefault="00724616" w:rsidP="0072461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</w:rPr>
                    <w:t>Gümrük ve Ticaret Bakanlığından:</w:t>
                  </w:r>
                </w:p>
                <w:p w:rsidR="00724616" w:rsidRPr="00724616" w:rsidRDefault="00724616" w:rsidP="0072461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GÜMRÜK YÖNETMELİĞİNDE DEĞİŞİKLİK</w:t>
                  </w:r>
                </w:p>
                <w:p w:rsidR="00724616" w:rsidRPr="00724616" w:rsidRDefault="00724616" w:rsidP="0072461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YAPILMASINA DAİR YÖNETMELİK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MADDE 1 –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7/10/2009</w:t>
                  </w:r>
                  <w:proofErr w:type="gramEnd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tarihli ve 27369 mükerrer sayılı Resmî Gazete’de yayımlanan Gümrük Yönetmeliğinin 213 üncü maddesinin birinci fıkrasının (b) bendinde yer alan “adına” ibaresi “hesabına” olarak değiştirilmiştir.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Aynı Yönetmeliğin 232 </w:t>
                  </w:r>
                  <w:proofErr w:type="spellStart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maddesinin birinci fıkrası aşağıdaki şekilde değiştirilmiştir.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“(1) Transit beyanı, Türkçe olarak ve transit rejiminde rejim hak sahibi olan asıl sorumlu tarafından yapılır. Kanunun 5 inci maddesi uyarınca, transit beyanı asıl sorumlu adına ve hesabına doğrudan temsil yoluyla veya asıl sorumlu hesabına olmak üzere asıl sorumlunun dolaylı temsilcisi tarafından da yapılabilir.”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Aynı Yönetmeliğin 566 </w:t>
                  </w:r>
                  <w:proofErr w:type="spellStart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maddesi aşağıdaki şekilde değiştirilmiştir.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“</w:t>
                  </w: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MADDE 566 – 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(1) Gümrük müşavir yardımcılığı sınavı yazılı olmak üzere tek aşamada; gümrük müşavirliği sınavı ise yazılı ve sözlü olmak üzere iki aşamada yapılır.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(2) Gümrük müşavirliği sınavının yazılı kısmını kazananlar, Bakanlıkça tayin edilecek yer ve zamanda sözlü sınava tabi tutulur.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(3) Yazılı ve sözlü sınavlarının zamanı ve başvuru koşulları en az bir ay önce ilan edilir.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(4) Bu madde hükümlerine göre yapılacak sözlü sınavlar, adayın;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a) Bir konuyu kavrayıp özetleme, ifade yeteneği ve muhakeme gücünün,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b) Liyakati, temsil kabiliyeti, bilgi düzeyi, davranış ve tepkilerinin mesleğe veya göreve uygunluğunun,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c) Özgüveni, ikna kabiliyeti ve inandırıcılığının,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ç) Genel yetenek ve genel kültürünün,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d) Mesleki bilgisinin,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değerlendirilmesi</w:t>
                  </w:r>
                  <w:proofErr w:type="gramEnd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suretiyle yapılır. Sınav kurulu, adaylar hakkında yukarıda yazılı </w:t>
                  </w:r>
                  <w:proofErr w:type="gramStart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kriterlerin</w:t>
                  </w:r>
                  <w:proofErr w:type="gramEnd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her biri için ayrı değerlendirme yapar. Yapılan değerlendirmeye göre verilen puanlar tutanağa geçirilir. Her </w:t>
                  </w:r>
                  <w:proofErr w:type="gramStart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kriter</w:t>
                  </w:r>
                  <w:proofErr w:type="gramEnd"/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için verilen puanların ortalaması, adayın sözlü sınav puanıdır.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(5) Sözlü sınavda, tutanak dışında herhangi bir kayıt sistemi kullanılmaz.”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Aynı Yönetmeliğin 568 inci maddesinin üçüncü fıkrası aşağıdaki şekilde değiştirilmiştir.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“(3) Gümrük müşavir yardımcılığı yazılı sınavından altmış veya üzerinde puan alanlar başarılı sayılır.”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MADDE 5 – 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 Yönetmelik yayımı tarihinde yürürlüğe girer.</w:t>
                  </w: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2461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MADDE 6 – </w:t>
                  </w:r>
                  <w:r w:rsidRPr="007246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 Yönetmelik hükümlerini Gümrük ve Ticaret Bakanı yürütür.</w:t>
                  </w:r>
                </w:p>
                <w:p w:rsidR="00724616" w:rsidRPr="00724616" w:rsidRDefault="00724616" w:rsidP="0072461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u w:val="single"/>
                    </w:rPr>
                  </w:pPr>
                </w:p>
                <w:tbl>
                  <w:tblPr>
                    <w:tblW w:w="85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536"/>
                    <w:gridCol w:w="3776"/>
                    <w:gridCol w:w="4193"/>
                  </w:tblGrid>
                  <w:tr w:rsidR="00724616" w:rsidRPr="00724616"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43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lastRenderedPageBreak/>
                          <w:t>Tarihi</w:t>
                        </w:r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43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7/10/2009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27369 (Mükerrer)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431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31/3/2010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27538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2/7/2010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27629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2/12/2010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27773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31/12/2010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27802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26/3/2011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27886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30/4/2011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27920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23/5/2011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27942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27996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2/11/2011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28103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28/12/2011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28156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ヒラギノ明朝Pro W3" w:hAnsi="Times New Roman" w:cs="Times New Roman"/>
                            <w:sz w:val="18"/>
                            <w:szCs w:val="18"/>
                          </w:rPr>
                          <w:t>31</w:t>
                        </w: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/3/2012</w:t>
                        </w:r>
                        <w:proofErr w:type="gramEnd"/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28250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12/6/2012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28321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20/11/2012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28473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10/1/2013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28524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7/2/2013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28552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5/4/2013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28609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15/5/2013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28648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18-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12/6/2013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28675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19-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3/8/2013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28727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20-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21/11/2013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28828 (Mükerrer)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21-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21/5/2014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29006 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22-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2/12/2014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29193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23-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31/1/2015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29253</w:t>
                        </w:r>
                      </w:p>
                    </w:tc>
                  </w:tr>
                  <w:tr w:rsidR="00724616" w:rsidRPr="00724616"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24-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18/2/2015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29271</w:t>
                        </w:r>
                      </w:p>
                    </w:tc>
                  </w:tr>
                  <w:tr w:rsidR="00724616" w:rsidRPr="00724616">
                    <w:trPr>
                      <w:trHeight w:val="64"/>
                    </w:trPr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25-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13/3/2015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29294</w:t>
                        </w:r>
                      </w:p>
                    </w:tc>
                  </w:tr>
                  <w:tr w:rsidR="00724616" w:rsidRPr="00724616">
                    <w:trPr>
                      <w:trHeight w:val="64"/>
                    </w:trPr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13/5/2015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29354</w:t>
                        </w:r>
                      </w:p>
                    </w:tc>
                  </w:tr>
                  <w:tr w:rsidR="00724616" w:rsidRPr="00724616">
                    <w:trPr>
                      <w:trHeight w:val="64"/>
                    </w:trPr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30/6/2015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29402</w:t>
                        </w:r>
                      </w:p>
                    </w:tc>
                  </w:tr>
                  <w:tr w:rsidR="00724616" w:rsidRPr="00724616">
                    <w:trPr>
                      <w:trHeight w:val="64"/>
                    </w:trPr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20/8/2015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29451</w:t>
                        </w:r>
                      </w:p>
                    </w:tc>
                  </w:tr>
                  <w:tr w:rsidR="00724616" w:rsidRPr="00724616">
                    <w:trPr>
                      <w:trHeight w:val="64"/>
                    </w:trPr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22/1/2016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29601</w:t>
                        </w:r>
                      </w:p>
                    </w:tc>
                  </w:tr>
                  <w:tr w:rsidR="00724616" w:rsidRPr="00724616">
                    <w:trPr>
                      <w:trHeight w:val="64"/>
                    </w:trPr>
                    <w:tc>
                      <w:tcPr>
                        <w:tcW w:w="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tabs>
                            <w:tab w:val="left" w:pos="566"/>
                          </w:tabs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30-</w:t>
                        </w:r>
                      </w:p>
                    </w:tc>
                    <w:tc>
                      <w:tcPr>
                        <w:tcW w:w="3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ind w:right="467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proofErr w:type="gramStart"/>
                        <w:r w:rsidRPr="0072461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13/2/2016</w:t>
                        </w:r>
                        <w:proofErr w:type="gramEnd"/>
                      </w:p>
                    </w:tc>
                    <w:tc>
                      <w:tcPr>
                        <w:tcW w:w="4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24616" w:rsidRPr="00724616" w:rsidRDefault="00724616" w:rsidP="00724616">
                        <w:pPr>
                          <w:spacing w:after="0" w:line="6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2461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29623</w:t>
                        </w:r>
                      </w:p>
                    </w:tc>
                  </w:tr>
                </w:tbl>
                <w:p w:rsidR="00724616" w:rsidRPr="00724616" w:rsidRDefault="00724616" w:rsidP="0072461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24616" w:rsidRPr="00724616" w:rsidRDefault="00724616" w:rsidP="007246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</w:rPr>
                  </w:pPr>
                </w:p>
              </w:tc>
            </w:tr>
          </w:tbl>
          <w:p w:rsidR="00724616" w:rsidRPr="00724616" w:rsidRDefault="00724616" w:rsidP="007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4616" w:rsidRPr="00724616" w:rsidRDefault="00724616" w:rsidP="0072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17C7" w:rsidRDefault="00FA17C7"/>
    <w:sectPr w:rsidR="00FA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24616"/>
    <w:rsid w:val="00724616"/>
    <w:rsid w:val="00FA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lk11pt">
    <w:name w:val="Başlık 11 pt"/>
    <w:rsid w:val="0072461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</w:rPr>
  </w:style>
  <w:style w:type="paragraph" w:customStyle="1" w:styleId="OrtaBalkBold">
    <w:name w:val="Orta Başlık Bold"/>
    <w:rsid w:val="0072461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character" w:customStyle="1" w:styleId="Normal1">
    <w:name w:val="Normal1"/>
    <w:rsid w:val="007246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metin">
    <w:name w:val="metin"/>
    <w:basedOn w:val="Normal"/>
    <w:rsid w:val="007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2016-03-29T05:54:00Z</dcterms:created>
  <dcterms:modified xsi:type="dcterms:W3CDTF">2016-03-29T05:54:00Z</dcterms:modified>
</cp:coreProperties>
</file>