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C3D89" w:rsidRPr="004C3D89" w:rsidTr="004C3D89">
        <w:trPr>
          <w:jc w:val="center"/>
        </w:trPr>
        <w:tc>
          <w:tcPr>
            <w:tcW w:w="9104" w:type="dxa"/>
            <w:hideMark/>
          </w:tcPr>
          <w:tbl>
            <w:tblPr>
              <w:tblW w:w="8789" w:type="dxa"/>
              <w:jc w:val="center"/>
              <w:tblLook w:val="01E0"/>
            </w:tblPr>
            <w:tblGrid>
              <w:gridCol w:w="2931"/>
              <w:gridCol w:w="2931"/>
              <w:gridCol w:w="2927"/>
            </w:tblGrid>
            <w:tr w:rsidR="004C3D89" w:rsidRPr="004C3D89">
              <w:trPr>
                <w:trHeight w:val="317"/>
                <w:jc w:val="center"/>
              </w:trPr>
              <w:tc>
                <w:tcPr>
                  <w:tcW w:w="2931" w:type="dxa"/>
                  <w:tcBorders>
                    <w:top w:val="nil"/>
                    <w:left w:val="nil"/>
                    <w:bottom w:val="single" w:sz="4" w:space="0" w:color="660066"/>
                    <w:right w:val="nil"/>
                  </w:tcBorders>
                  <w:vAlign w:val="center"/>
                  <w:hideMark/>
                </w:tcPr>
                <w:p w:rsidR="004C3D89" w:rsidRPr="004C3D89" w:rsidRDefault="004C3D89" w:rsidP="004C3D89">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4C3D89">
                    <w:rPr>
                      <w:rFonts w:ascii="Arial" w:eastAsia="Times New Roman" w:hAnsi="Arial" w:cs="Arial"/>
                      <w:sz w:val="16"/>
                      <w:szCs w:val="16"/>
                      <w:lang w:eastAsia="tr-TR"/>
                    </w:rPr>
                    <w:t>13 Nisan 2016 ÇARŞAMBA</w:t>
                  </w:r>
                </w:p>
              </w:tc>
              <w:tc>
                <w:tcPr>
                  <w:tcW w:w="2931" w:type="dxa"/>
                  <w:tcBorders>
                    <w:top w:val="nil"/>
                    <w:left w:val="nil"/>
                    <w:bottom w:val="single" w:sz="4" w:space="0" w:color="660066"/>
                    <w:right w:val="nil"/>
                  </w:tcBorders>
                  <w:vAlign w:val="center"/>
                  <w:hideMark/>
                </w:tcPr>
                <w:p w:rsidR="004C3D89" w:rsidRPr="004C3D89" w:rsidRDefault="004C3D89" w:rsidP="004C3D8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C3D8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C3D89" w:rsidRPr="004C3D89" w:rsidRDefault="004C3D89" w:rsidP="004C3D89">
                  <w:pPr>
                    <w:spacing w:before="100" w:beforeAutospacing="1" w:after="100" w:afterAutospacing="1" w:line="240" w:lineRule="auto"/>
                    <w:ind w:right="0"/>
                    <w:jc w:val="right"/>
                    <w:rPr>
                      <w:rFonts w:ascii="Arial" w:eastAsia="Times New Roman" w:hAnsi="Arial" w:cs="Arial"/>
                      <w:sz w:val="16"/>
                      <w:szCs w:val="16"/>
                      <w:lang w:eastAsia="tr-TR"/>
                    </w:rPr>
                  </w:pPr>
                  <w:r w:rsidRPr="004C3D89">
                    <w:rPr>
                      <w:rFonts w:ascii="Arial" w:eastAsia="Times New Roman" w:hAnsi="Arial" w:cs="Arial"/>
                      <w:sz w:val="16"/>
                      <w:szCs w:val="16"/>
                      <w:lang w:eastAsia="tr-TR"/>
                    </w:rPr>
                    <w:t>Sayı : 29683</w:t>
                  </w:r>
                </w:p>
              </w:tc>
            </w:tr>
            <w:tr w:rsidR="004C3D89" w:rsidRPr="004C3D89">
              <w:trPr>
                <w:trHeight w:val="480"/>
                <w:jc w:val="center"/>
              </w:trPr>
              <w:tc>
                <w:tcPr>
                  <w:tcW w:w="8789" w:type="dxa"/>
                  <w:gridSpan w:val="3"/>
                  <w:vAlign w:val="center"/>
                  <w:hideMark/>
                </w:tcPr>
                <w:p w:rsidR="004C3D89" w:rsidRPr="004C3D89" w:rsidRDefault="004C3D89" w:rsidP="004C3D8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C3D89">
                    <w:rPr>
                      <w:rFonts w:ascii="Arial" w:eastAsia="Times New Roman" w:hAnsi="Arial" w:cs="Arial"/>
                      <w:b/>
                      <w:color w:val="000080"/>
                      <w:sz w:val="18"/>
                      <w:szCs w:val="18"/>
                      <w:lang w:eastAsia="tr-TR"/>
                    </w:rPr>
                    <w:t>TEBLİĞ</w:t>
                  </w:r>
                </w:p>
              </w:tc>
            </w:tr>
            <w:tr w:rsidR="004C3D89" w:rsidRPr="004C3D89">
              <w:trPr>
                <w:trHeight w:val="480"/>
                <w:jc w:val="center"/>
              </w:trPr>
              <w:tc>
                <w:tcPr>
                  <w:tcW w:w="8789" w:type="dxa"/>
                  <w:gridSpan w:val="3"/>
                  <w:vAlign w:val="center"/>
                </w:tcPr>
                <w:p w:rsidR="004C3D89" w:rsidRDefault="004C3D89" w:rsidP="004C3D8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C3D89">
                    <w:rPr>
                      <w:rFonts w:ascii="Times New Roman" w:eastAsia="Times New Roman" w:hAnsi="Times New Roman" w:cs="Times New Roman"/>
                      <w:sz w:val="18"/>
                      <w:szCs w:val="18"/>
                      <w:u w:val="single"/>
                      <w:lang w:eastAsia="tr-TR"/>
                    </w:rPr>
                    <w:t>Maliye Bakanlığından:</w:t>
                  </w:r>
                </w:p>
                <w:p w:rsidR="004C3D89" w:rsidRPr="004C3D89" w:rsidRDefault="004C3D89" w:rsidP="004C3D8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p>
                <w:p w:rsidR="004C3D89" w:rsidRPr="004C3D89" w:rsidRDefault="004C3D89" w:rsidP="004C3D89">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C3D89">
                    <w:rPr>
                      <w:rFonts w:ascii="Times New Roman" w:eastAsia="Times New Roman" w:hAnsi="Times New Roman" w:cs="Times New Roman"/>
                      <w:b/>
                      <w:bCs/>
                      <w:sz w:val="18"/>
                      <w:szCs w:val="18"/>
                      <w:lang w:eastAsia="tr-TR"/>
                    </w:rPr>
                    <w:t xml:space="preserve">HARCIRAH KANUNU GENEL TEBLİĞİ  </w:t>
                  </w:r>
                </w:p>
                <w:p w:rsidR="004C3D89" w:rsidRPr="004C3D89" w:rsidRDefault="004C3D89" w:rsidP="004C3D89">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4C3D89">
                    <w:rPr>
                      <w:rFonts w:ascii="Times New Roman" w:eastAsia="Times New Roman" w:hAnsi="Times New Roman" w:cs="Times New Roman"/>
                      <w:b/>
                      <w:bCs/>
                      <w:sz w:val="18"/>
                      <w:szCs w:val="18"/>
                      <w:lang w:eastAsia="tr-TR"/>
                    </w:rPr>
                    <w:t>(SERİ NO: 40)</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4C3D89">
                    <w:rPr>
                      <w:rFonts w:ascii="Times New Roman" w:eastAsia="Times New Roman" w:hAnsi="Times New Roman" w:cs="Times New Roman"/>
                      <w:b/>
                      <w:sz w:val="18"/>
                      <w:szCs w:val="18"/>
                      <w:lang w:eastAsia="tr-TR"/>
                    </w:rPr>
                    <w:t>Amaç ve kapsam</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b/>
                      <w:sz w:val="18"/>
                      <w:szCs w:val="18"/>
                      <w:lang w:eastAsia="tr-TR"/>
                    </w:rPr>
                    <w:t>MADDE 1 –</w:t>
                  </w:r>
                  <w:r w:rsidRPr="004C3D89">
                    <w:rPr>
                      <w:rFonts w:ascii="Times New Roman" w:eastAsia="Times New Roman" w:hAnsi="Times New Roman" w:cs="Times New Roman"/>
                      <w:sz w:val="18"/>
                      <w:szCs w:val="18"/>
                      <w:lang w:eastAsia="tr-TR"/>
                    </w:rPr>
                    <w:t xml:space="preserve"> (1) Bu Tebliğin amacı 2016 Yılı Merkezi Yönetim Bütçe Kanununa bağlı (H) işaretli cetvelin dipnotunda yer alan “6245 sayılı Harcırah Kanununun 33 üncü maddesinin (b) fıkrasına göre yatacak yer temini için ödenecek ücretlerin hesabında gündeliklerinin %50 artırımlı miktarı, (d) fıkrasına göre yapılacak ödemelerde ise görevlendirmenin ilk 10 günü için gündeliklerinin %50 artırımlı miktarı, takip eden 80 günü için gündeliklerinin %50 si, müteakip 90 günü için ise müstehak oldukları gündeliklerinin % 40’ı esas alınır.” hükmü uyarınca Harcırah Kanunu kapsamında bulunanlara 1/4/2016 tarihinden itibaren ödenecek konaklama bedellerine ilişkin usul ve esasları belirlemektir. </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4C3D89">
                    <w:rPr>
                      <w:rFonts w:ascii="Times New Roman" w:eastAsia="Times New Roman" w:hAnsi="Times New Roman" w:cs="Times New Roman"/>
                      <w:b/>
                      <w:sz w:val="18"/>
                      <w:szCs w:val="18"/>
                      <w:lang w:eastAsia="tr-TR"/>
                    </w:rPr>
                    <w:t>Dayanak</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b/>
                      <w:sz w:val="18"/>
                      <w:szCs w:val="18"/>
                      <w:lang w:eastAsia="tr-TR"/>
                    </w:rPr>
                    <w:t>MADDE 2 –</w:t>
                  </w:r>
                  <w:r w:rsidRPr="004C3D89">
                    <w:rPr>
                      <w:rFonts w:ascii="Times New Roman" w:eastAsia="Times New Roman" w:hAnsi="Times New Roman" w:cs="Times New Roman"/>
                      <w:sz w:val="18"/>
                      <w:szCs w:val="18"/>
                      <w:lang w:eastAsia="tr-TR"/>
                    </w:rPr>
                    <w:t xml:space="preserve"> (1) Bu Tebliğ 13/12/1983 tarihli ve 178 sayılı Maliye Bakanlığının Teşkilat ve Görevleri Hakkında Kanun Hükmünde Kararnamenin 10 uncu maddesine ve 9/3/2016 tarihli ve 6682 sayılı 2016 Yılı Merkezi Yönetim Bütçe Kanununa bağlı (H) işaretli cetvelin dipnotunda yer alan hükme dayanılarak hazırlanmıştır.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4C3D89">
                    <w:rPr>
                      <w:rFonts w:ascii="Times New Roman" w:eastAsia="Times New Roman" w:hAnsi="Times New Roman" w:cs="Times New Roman"/>
                      <w:b/>
                      <w:sz w:val="18"/>
                      <w:szCs w:val="18"/>
                      <w:lang w:eastAsia="tr-TR"/>
                    </w:rPr>
                    <w:t>Konaklama giderleri</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b/>
                      <w:sz w:val="18"/>
                      <w:szCs w:val="18"/>
                      <w:lang w:eastAsia="tr-TR"/>
                    </w:rPr>
                    <w:t>MADDE 3 –</w:t>
                  </w:r>
                  <w:r w:rsidRPr="004C3D89">
                    <w:rPr>
                      <w:rFonts w:ascii="Times New Roman" w:eastAsia="Times New Roman" w:hAnsi="Times New Roman" w:cs="Times New Roman"/>
                      <w:sz w:val="18"/>
                      <w:szCs w:val="18"/>
                      <w:lang w:eastAsia="tr-TR"/>
                    </w:rPr>
                    <w:t xml:space="preserve"> (1) 6245 sayılı Harcırah Kanununun 33 üncü maddesinin (d) fıkrasındaki; “Bu Kanun hükümlerine göre gündelik ödenenlerden ( (b) fıkrasına göre gündelik ödenenler hariç) yurt içinde yatacak yer temini için ödedikleri ücretleri belgelendirenlere, belge bedelini aşmamak ve her defasında on gün ile sınırlı olmak üzere gündeliklerinin tamamına kadar olan kısmı ayrıca ödenir.” hükmünde yer alan; “…ve her defasında on gün ile sınırlı olmak…” ibaresi Anayasa Mahkemesinin 25/11/2015 tarihli ve Esas No: 2015/13, Karar No: 2015/108 sayılı Kararı ile Anayasa’ya aykırı olduğu gerekçesiyle iptal edilmiş ve söz konusu Karar 15/12/2015 tarihli ve 29563 sayılı Resmî Gazete’de yayımlanmıştır.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(2) 2016 Yılı Merkezi Yönetim Bütçe Kanununa ekli (H) işaretli cetvelin I. maddesinin dipnotunda da; “6245 sayılı Harcırah Kanununun 33 üncü maddesinin (b) fıkrasına göre yatacak yer temini için ödenecek ücretlerin hesabında gündeliklerinin %50 artırımlı miktarı, (d) fıkrasına göre yapılacak ödemelerde ise görevlendirmenin ilk 10 günü için gündeliklerinin %50 artırımlı miktarı, takip eden 80 günü için gündeliklerinin %50 si, müteakip 90 günü için ise müstehak oldukları gündeliklerinin % 40’ı  esas alınır.” hükmü yer almaktadır.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(3) Anayasa Mahkemesinin söz konusu Kararının yürürlüğe girmesi ve 2016 Yılı Merkezi Yönetim Bütçe Kanununa ekli (H) işaretli cetvelin I. maddesinin dipnotunda yapılan düzenleme sonucunda, yurtiçinde memuriyet mahalli dışında bir yere geçici görevle gönderilenlere konaklama giderinin ödenmesi konusunda ortaya çıkabilecek tereddütlerin giderilebilmesi ve uygulamada birliğin sağlanması amacıyla aşağıdaki açıklamaların yapılması gerekli görülmüştür.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(4) 6245 sayılı Kanunun  “Geçici görev gündeliğinin verilebileceği azami süre” başlıklı 42 nci maddesinde;</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“Geçici bir görev ile başka bir yere gönderilenlere, görev mahalline varış tarihinden itibaren bu Kanuna göre verilen gündelikler: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a) Yurtiçinde bir yıllık dönem zarfında aynı yerde, aynı iş için ve aynı şahsa 180 günden fazla verilemez. İlk 90 gün için tam, takibeden 90 gün için 2/3 oranında ödenir.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lastRenderedPageBreak/>
                    <w:t>…….”</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hükmüne yer verilerek, yurt içinde geçici bir görevle başka bir yere gönderilenlere, geçici görev gündeliğinin verileceği azami süreler belirlenmiş bulunmaktadır.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(5) Aynı Kanunun 33 üncü maddesinin (d) fıkrasında yer alan “Bu Kanun hükümlerine göre gündelik ödenenlerden …” ifadesinden de anlaşılacağı üzere, geçici görevle başka bir yere gönderilenlere gündelik ödendiği sürece konaklama giderinin ödenmesi gerekmekte olup, gündelik ödenmeyen günler için konaklama giderinin de ödenmesine imkan bulunmamaktadır. Dolayısıyla, geçici görevle memuriyet mahalli dışına gönderilenlere söz konusu (d) fıkrasına göre konaklama giderinin ödenmesinde, 42 nci maddede belirtilen, yurtiçi gündeliklerin verileceği azami sürelerin göz önünde bulundurulması gerekmektedir.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(6) Yukarıda belirtilen mevzuat hükümleri ve açıklamalar birlikte değerlendirildiğinde, 1/4/2016 tarihinden itibaren, yurtiçinde memuriyet mahalli dışına yapılacak geçici görevlendirmelerde;</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 xml:space="preserve">-6245 sayılı Kanunun 33 üncü maddesinin (b) fıkrasına göre, ilgililerin gündeliklerinin %50 artırımlı miktarı kadar konaklama gideri ödenmesi, </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 xml:space="preserve">-Söz konusu 33 üncü maddenin (d) fıkrasına göre ise, görevlendirmenin ilk 10 günü için gündeliklerinin %50 artırımlı miktarı kadar, takip eden 80 gün için gündeliklerinin %50’si kadar, müteakip 90 gün için de gündeliklerinin 2/3’ünün %40’ı kadar konaklama gideri ödenmesi, 180 günü aşan günler için ise konaklama gideri ödenmemesi, </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 xml:space="preserve">gerekmektedir.      </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 xml:space="preserve">(7) Örneğin, aylık/kadro derecesi 2 olan ve 2016 Yılı Merkezi Yönetim Bütçe Kanununa ekli (H) işaretli cetvelde yurtiçi gündeliği 35,24 TL olarak belirlenen bir memurun yurtiçinde memuriyet mahalli dışında bir yere 1/4/2016 tarihinden itibaren 200 gün süre ile geçici görevle gönderilmesi halinde söz konusu personele 6245 sayılı Kanunun 33 üncü maddesinin (d) fıkrasına göre ödenecek konaklama gideri aşağıda belirtildiği şekilde hesaplanacaktır. </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 xml:space="preserve">-Görevlendirmenin ilk 10 günü için gündeliğinin %50 artırımlı miktarı olan 52,86 TL, </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 xml:space="preserve">52,86 x 10 = 528,60 TL </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 xml:space="preserve">-Takip eden 80 gün için gündeliğinin %50’si olan 17,62 TL, </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17,62 x 80 = 1.409,60 TL</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 xml:space="preserve">-Müteakip 90 gün için de gündeliğinin 2/3’ünün %40’ı olan 9,39 TL, </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9,39 x 90 = 845,10 TL</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olmak üzere toplam olarak 2.783,30 TL tutarında konaklama gideri ödenmesi gerekmektedir.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4C3D89">
                    <w:rPr>
                      <w:rFonts w:ascii="Times New Roman" w:eastAsia="Times New Roman" w:hAnsi="Times New Roman" w:cs="Times New Roman"/>
                      <w:b/>
                      <w:sz w:val="18"/>
                      <w:szCs w:val="18"/>
                      <w:lang w:eastAsia="tr-TR"/>
                    </w:rPr>
                    <w:t>1/1/2016-1/4/2016 dönemi konaklama gideri</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b/>
                      <w:sz w:val="18"/>
                      <w:szCs w:val="18"/>
                      <w:lang w:eastAsia="tr-TR"/>
                    </w:rPr>
                    <w:t>MADDE 4 –</w:t>
                  </w:r>
                  <w:r w:rsidRPr="004C3D89">
                    <w:rPr>
                      <w:rFonts w:ascii="Times New Roman" w:eastAsia="Times New Roman" w:hAnsi="Times New Roman" w:cs="Times New Roman"/>
                      <w:sz w:val="18"/>
                      <w:szCs w:val="18"/>
                      <w:lang w:eastAsia="tr-TR"/>
                    </w:rPr>
                    <w:t xml:space="preserve"> (1) Anayasa Mahkemesi kararlarında kazanılmış hak kavramının hukukun en belirsiz, uygulama sahası çok dar, genel hukuksal durumlarda konu edilemeyen bir kavram olduğu belirtilerek, 4/11/2003 tarihli ve 25279 sayılı Resmî Gazete’de yayımlanan 10/4/2003 tarihli ve E.2002/112, K.2003/33 sayılı Kararında “Kazanılmış haklara saygı ilkesi hukukun genel ilkeleri ve hukuk devleti kavramı içerisinde yer alır. Bu ilkenin temel amacı ise bireylerin hukuk güvenliğini sağlamaktır.” denilmiş ve 5/12/1989 tarihli ve 20363 sayılı Resmî Gazete’de yayımlanan 21/6/1989 tarihli ve E.1988/34, K.1989/26 sayılı Kararında da  “Devlet faaliyetlerinin hukuk kurallarına uygun olması, kazanılmış haklara saygı duyulmasını gerektirir. Ancak, kazanılmış bir haktan sözedilebilmesi için bu hakkın yeni yasadan önce yürürlükte olan kurallara göre bütün sonuçlarıyla eylemli biçimde elde edilmiş olması gerekir.” hükmüne yer verilmiştir.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lastRenderedPageBreak/>
                    <w:t>(2) Diğer taraftan anılan Mahkeme kişilere hak sağlayıcı nitelikte yeni olanaklar getiren kanun hükümlerinin geriye yürümesine hukuki bir engel görmemekle birlikte, 24/2/2004 tarihli ve 25383 sayılı Resmî Gazete’de yayımlanan 8/10/2003 tarihli ve E.2003/31, K.2003/87 sayılı Kararında ise “Yasalar kamu yararı ve kamu düzeninin gerektirdiği kimi ayrıksı durumlar dışında ilke olarak yürürlük tarihlerinden sonraki olay, işlem ve eylemlere uygulanmak üzere çıkarılırlar. Geçmiş, yeni çıkarılan bir yasanın etki alanı dışında kalır. Sonradan yürürlüğe giren yasaların geçmiş ve kesin nitelik kazanmış hukuksal durumlara etkili olmaması hukukun genel ilkelerindendir…. İlgililer bakımından mali bir külfet öngören söz konusu kuralların geçmişe etkili olacak şekilde yürürlüğe konulması hukuk güvenliğini zedelediğinden, Anayasanın 2. maddesinde öngörülen hukuk devleti ilkesine aykırı” olacağı belirtilmiştir.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 xml:space="preserve">(3) Bu çerçevede, Anayasa Mahkemesinin 25/11/2015 tarihli ve Esas No: 2015/13, Karar No: 2015/108 sayılı Kararı ve 18/12/2015 tarihli ve 6654 sayılı 2016 Yılı Merkezi Yönetim Geçici Bütçe Kanununun 3 üncü maddesi gereğince 1/1/2016-1/4/2016 tarihleri arasında yürürlükte bulunan 6583 sayılı 2015 Yılı Merkezi Yönetim Bütçe Kanununa bağlı (H) işaretli cetvelin dipnotundaki hükme göre gündeliklerin %50 artırımlı tutarı esas alınarak ödenmiş bulunan konaklama giderlerinin kişilerden geri alınmaması ve geri alma işlemlerinin başlatılmış olması halinde de işlemlerin iptal edilmesi gerekmektedir. </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(4) 1/4/2016 tarihinden sonraki işlemlerin ise yukarıda belirtildiği üzere 2016 Merkezi Yönetim Bütçe Kanununa ekli (H) işaretli cetvelin dipnotundaki yer alan hükme göre yapılması gerekmektedir.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4C3D89">
                    <w:rPr>
                      <w:rFonts w:ascii="Times New Roman" w:eastAsia="Times New Roman" w:hAnsi="Times New Roman" w:cs="Times New Roman"/>
                      <w:b/>
                      <w:sz w:val="18"/>
                      <w:szCs w:val="18"/>
                      <w:lang w:eastAsia="tr-TR"/>
                    </w:rPr>
                    <w:t>Konut kiralamaları</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b/>
                      <w:sz w:val="18"/>
                      <w:szCs w:val="18"/>
                      <w:lang w:eastAsia="tr-TR"/>
                    </w:rPr>
                    <w:t>MADDE 5 –</w:t>
                  </w:r>
                  <w:r w:rsidRPr="004C3D89">
                    <w:rPr>
                      <w:rFonts w:ascii="Times New Roman" w:eastAsia="Times New Roman" w:hAnsi="Times New Roman" w:cs="Times New Roman"/>
                      <w:sz w:val="18"/>
                      <w:szCs w:val="18"/>
                      <w:lang w:eastAsia="tr-TR"/>
                    </w:rPr>
                    <w:t xml:space="preserve"> (1) Anayasa Mahkemesinin 25/11/2015 tarihli ve Esas No: 2015/13, Karar No: 2015/108 sayılı Kararı ile 6245 sayılı Kanunun 33 üncü maddesinin (d) fıkrasında yer alan konaklama giderinin ödenmesine ilişkin 10 günlük süre sınırlamasının kaldırıldığı hususu dikkate alındığında, yurt içinde memuriyet mahalli dışında bir yere geçici görevle gönderilenlerin, geçici görevle gönderildikleri yerlerde yatacak yer sağlamak üzere özel şahıslardan kiraladıkları evler ile pansiyonlara (ticari işletmelere dahil olanlar hariç) ödedikleri ücretler, kira sözleşmesi ile birlikte 31/12/2005 tarihli ve 26040 3 üncü mükerrer sayılı Resmî Gazete’de yayımlanan Merkezi Yönetim Harcama Belgeleri Yönetmeliğinde belirtilen şekil ve esaslara göre düzenlenecek “harcama pusulası” ve ödemeye ilişkin “banka makbuzu” ile belgelendirmeleri halinde, aşağıda belirtilen koşullara da uymak şartıyla, 6245 sayılı Harcırah Kanunu ve 2016 Yılı Merkezi Yönetim Bütçe Kanununa ekli (H) işaretli cetvelin I. maddesinin dipnotunda belirtilen esas ve miktar dikkate alınarak ödenecektir.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(2) Harcama pusulaları ve banka makbuzları (dekont) aylık dönemler itibarıyla düzenlenecektir.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(3) Ortak kiralamalarda harcama pusulaları ve banka makbuzları geçici görevle gönderilenler için ayrı ayrı kendi ödedikleri tutarlar üzerinden düzenlenecektir.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(4) Konaklama yerinden yararlanan geçici görevle gönderilenlerin sayısının birden fazla olması halinde tümünün ismi ve unvanı sözleşmede ayrı ayrı yer alacaktır. Kira sözleşmesi konuttan yararlananların sayısı kadar düzenlenebilecek veya düzenlenen kira sözleşmesi geçici olarak görevlendirilen kişi sayısı kadar çoğaltılıp tasdik edilmek suretiyle ibraz edilecektir.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(5) Kira sözleşmelerinde kiranın başladığı tarih ile kira bitim tarihinin yanı sıra kiralama süresi gün olarak da belirtilecektir. İlgili kişinin görevlendirilen yerde ikamet ettiği günler dikkate alınarak ödeme yapılacaktır.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sz w:val="18"/>
                      <w:szCs w:val="18"/>
                      <w:lang w:eastAsia="tr-TR"/>
                    </w:rPr>
                    <w:t>(6) Kira sözleşmelerinin asılları ilk yolluk bildirimine eklenecektir. Kalınan sürede birden fazla yolluk bildirimi düzenlendiği takdirde sonraki bildirimlere kira sözleşmelerinin tasdik edilmiş fotokopileri eklenecektir.</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4C3D89">
                    <w:rPr>
                      <w:rFonts w:ascii="Times New Roman" w:eastAsia="Times New Roman" w:hAnsi="Times New Roman" w:cs="Times New Roman"/>
                      <w:b/>
                      <w:sz w:val="18"/>
                      <w:szCs w:val="18"/>
                      <w:lang w:eastAsia="tr-TR"/>
                    </w:rPr>
                    <w:t>Yürürlük</w:t>
                  </w:r>
                </w:p>
                <w:p w:rsid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b/>
                      <w:sz w:val="18"/>
                      <w:szCs w:val="18"/>
                      <w:lang w:eastAsia="tr-TR"/>
                    </w:rPr>
                    <w:t>MADDE 6 –</w:t>
                  </w:r>
                  <w:r w:rsidRPr="004C3D89">
                    <w:rPr>
                      <w:rFonts w:ascii="Times New Roman" w:eastAsia="Times New Roman" w:hAnsi="Times New Roman" w:cs="Times New Roman"/>
                      <w:sz w:val="18"/>
                      <w:szCs w:val="18"/>
                      <w:lang w:eastAsia="tr-TR"/>
                    </w:rPr>
                    <w:t xml:space="preserve"> (1) Bu Tebliğ hükümleri 1/4/2016 tarihinden itibaren geçerli olmak üzere yayımı tarihinde yürürlüğe girer.</w:t>
                  </w:r>
                </w:p>
                <w:p w:rsid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4C3D89">
                    <w:rPr>
                      <w:rFonts w:ascii="Times New Roman" w:eastAsia="Times New Roman" w:hAnsi="Times New Roman" w:cs="Times New Roman"/>
                      <w:b/>
                      <w:sz w:val="18"/>
                      <w:szCs w:val="18"/>
                      <w:lang w:eastAsia="tr-TR"/>
                    </w:rPr>
                    <w:t>Yürütme</w:t>
                  </w:r>
                </w:p>
                <w:p w:rsidR="004C3D89" w:rsidRPr="004C3D89" w:rsidRDefault="004C3D89" w:rsidP="004C3D89">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C3D89">
                    <w:rPr>
                      <w:rFonts w:ascii="Times New Roman" w:eastAsia="Times New Roman" w:hAnsi="Times New Roman" w:cs="Times New Roman"/>
                      <w:b/>
                      <w:sz w:val="18"/>
                      <w:szCs w:val="18"/>
                      <w:lang w:eastAsia="tr-TR"/>
                    </w:rPr>
                    <w:t>MADDE 7 –</w:t>
                  </w:r>
                  <w:r w:rsidRPr="004C3D89">
                    <w:rPr>
                      <w:rFonts w:ascii="Times New Roman" w:eastAsia="Times New Roman" w:hAnsi="Times New Roman" w:cs="Times New Roman"/>
                      <w:sz w:val="18"/>
                      <w:szCs w:val="18"/>
                      <w:lang w:eastAsia="tr-TR"/>
                    </w:rPr>
                    <w:t xml:space="preserve"> (1) Bu Tebliğ hükümlerini Maliye Bakanı yürütür.</w:t>
                  </w:r>
                </w:p>
                <w:p w:rsidR="004C3D89" w:rsidRPr="004C3D89" w:rsidRDefault="004C3D89" w:rsidP="004C3D89">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C3D89" w:rsidRPr="004C3D89" w:rsidRDefault="004C3D89" w:rsidP="004C3D89">
            <w:pPr>
              <w:spacing w:line="240" w:lineRule="auto"/>
              <w:ind w:right="0"/>
              <w:jc w:val="center"/>
              <w:rPr>
                <w:rFonts w:ascii="Times New Roman" w:eastAsia="Times New Roman" w:hAnsi="Times New Roman" w:cs="Times New Roman"/>
                <w:sz w:val="20"/>
                <w:szCs w:val="20"/>
                <w:lang w:eastAsia="tr-TR"/>
              </w:rPr>
            </w:pPr>
          </w:p>
        </w:tc>
      </w:tr>
    </w:tbl>
    <w:p w:rsidR="004C3D89" w:rsidRPr="004C3D89" w:rsidRDefault="004C3D89" w:rsidP="004C3D89">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C3D89"/>
    <w:rsid w:val="0046759C"/>
    <w:rsid w:val="004C3D89"/>
    <w:rsid w:val="00A634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C3D8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C3D89"/>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C3D89"/>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4C3D8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08089434">
      <w:bodyDiv w:val="1"/>
      <w:marLeft w:val="0"/>
      <w:marRight w:val="0"/>
      <w:marTop w:val="0"/>
      <w:marBottom w:val="0"/>
      <w:divBdr>
        <w:top w:val="none" w:sz="0" w:space="0" w:color="auto"/>
        <w:left w:val="none" w:sz="0" w:space="0" w:color="auto"/>
        <w:bottom w:val="none" w:sz="0" w:space="0" w:color="auto"/>
        <w:right w:val="none" w:sz="0" w:space="0" w:color="auto"/>
      </w:divBdr>
      <w:divsChild>
        <w:div w:id="656570426">
          <w:marLeft w:val="0"/>
          <w:marRight w:val="0"/>
          <w:marTop w:val="0"/>
          <w:marBottom w:val="0"/>
          <w:divBdr>
            <w:top w:val="none" w:sz="0" w:space="0" w:color="auto"/>
            <w:left w:val="none" w:sz="0" w:space="0" w:color="auto"/>
            <w:bottom w:val="none" w:sz="0" w:space="0" w:color="auto"/>
            <w:right w:val="none" w:sz="0" w:space="0" w:color="auto"/>
          </w:divBdr>
          <w:divsChild>
            <w:div w:id="68424186">
              <w:marLeft w:val="0"/>
              <w:marRight w:val="0"/>
              <w:marTop w:val="0"/>
              <w:marBottom w:val="0"/>
              <w:divBdr>
                <w:top w:val="none" w:sz="0" w:space="0" w:color="auto"/>
                <w:left w:val="none" w:sz="0" w:space="0" w:color="auto"/>
                <w:bottom w:val="none" w:sz="0" w:space="0" w:color="auto"/>
                <w:right w:val="none" w:sz="0" w:space="0" w:color="auto"/>
              </w:divBdr>
              <w:divsChild>
                <w:div w:id="1029336035">
                  <w:marLeft w:val="0"/>
                  <w:marRight w:val="0"/>
                  <w:marTop w:val="0"/>
                  <w:marBottom w:val="0"/>
                  <w:divBdr>
                    <w:top w:val="none" w:sz="0" w:space="0" w:color="auto"/>
                    <w:left w:val="none" w:sz="0" w:space="0" w:color="auto"/>
                    <w:bottom w:val="none" w:sz="0" w:space="0" w:color="auto"/>
                    <w:right w:val="none" w:sz="0" w:space="0" w:color="auto"/>
                  </w:divBdr>
                  <w:divsChild>
                    <w:div w:id="16365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1575</Words>
  <Characters>8979</Characters>
  <Application>Microsoft Office Word</Application>
  <DocSecurity>0</DocSecurity>
  <Lines>74</Lines>
  <Paragraphs>21</Paragraphs>
  <ScaleCrop>false</ScaleCrop>
  <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2016-04-13T05:42:00Z</dcterms:created>
  <dcterms:modified xsi:type="dcterms:W3CDTF">2016-04-13T05:42:00Z</dcterms:modified>
</cp:coreProperties>
</file>