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06103" w:rsidRPr="00806103" w:rsidTr="0080610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06103" w:rsidRPr="00806103">
              <w:trPr>
                <w:trHeight w:val="317"/>
                <w:jc w:val="center"/>
              </w:trPr>
              <w:tc>
                <w:tcPr>
                  <w:tcW w:w="2931" w:type="dxa"/>
                  <w:tcBorders>
                    <w:top w:val="nil"/>
                    <w:left w:val="nil"/>
                    <w:bottom w:val="single" w:sz="4" w:space="0" w:color="660066"/>
                    <w:right w:val="nil"/>
                  </w:tcBorders>
                  <w:vAlign w:val="center"/>
                  <w:hideMark/>
                </w:tcPr>
                <w:p w:rsidR="00806103" w:rsidRPr="00806103" w:rsidRDefault="00806103" w:rsidP="00806103">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806103">
                    <w:rPr>
                      <w:rFonts w:ascii="Arial" w:eastAsia="Times New Roman" w:hAnsi="Arial" w:cs="Arial"/>
                      <w:sz w:val="16"/>
                      <w:szCs w:val="16"/>
                      <w:lang w:eastAsia="tr-TR"/>
                    </w:rPr>
                    <w:t>29 Nisan 2016 CUMA</w:t>
                  </w:r>
                </w:p>
              </w:tc>
              <w:tc>
                <w:tcPr>
                  <w:tcW w:w="2931" w:type="dxa"/>
                  <w:tcBorders>
                    <w:top w:val="nil"/>
                    <w:left w:val="nil"/>
                    <w:bottom w:val="single" w:sz="4" w:space="0" w:color="660066"/>
                    <w:right w:val="nil"/>
                  </w:tcBorders>
                  <w:vAlign w:val="center"/>
                  <w:hideMark/>
                </w:tcPr>
                <w:p w:rsidR="00806103" w:rsidRPr="00806103" w:rsidRDefault="00806103" w:rsidP="0080610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0610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06103" w:rsidRPr="00806103" w:rsidRDefault="00806103" w:rsidP="0080610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06103">
                    <w:rPr>
                      <w:rFonts w:ascii="Arial" w:eastAsia="Times New Roman" w:hAnsi="Arial" w:cs="Arial"/>
                      <w:sz w:val="16"/>
                      <w:szCs w:val="16"/>
                      <w:lang w:eastAsia="tr-TR"/>
                    </w:rPr>
                    <w:t>Sayı : 29698</w:t>
                  </w:r>
                  <w:proofErr w:type="gramEnd"/>
                </w:p>
              </w:tc>
            </w:tr>
            <w:tr w:rsidR="00806103" w:rsidRPr="00806103">
              <w:trPr>
                <w:trHeight w:val="480"/>
                <w:jc w:val="center"/>
              </w:trPr>
              <w:tc>
                <w:tcPr>
                  <w:tcW w:w="8789" w:type="dxa"/>
                  <w:gridSpan w:val="3"/>
                  <w:vAlign w:val="center"/>
                  <w:hideMark/>
                </w:tcPr>
                <w:p w:rsidR="00806103" w:rsidRPr="00806103" w:rsidRDefault="00806103" w:rsidP="0080610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06103">
                    <w:rPr>
                      <w:rFonts w:ascii="Arial" w:eastAsia="Times New Roman" w:hAnsi="Arial" w:cs="Arial"/>
                      <w:b/>
                      <w:color w:val="000080"/>
                      <w:sz w:val="18"/>
                      <w:szCs w:val="18"/>
                      <w:lang w:eastAsia="tr-TR"/>
                    </w:rPr>
                    <w:t>YÖNETMELİK</w:t>
                  </w:r>
                </w:p>
              </w:tc>
            </w:tr>
            <w:tr w:rsidR="00806103" w:rsidRPr="00806103">
              <w:trPr>
                <w:trHeight w:val="480"/>
                <w:jc w:val="center"/>
              </w:trPr>
              <w:tc>
                <w:tcPr>
                  <w:tcW w:w="8789" w:type="dxa"/>
                  <w:gridSpan w:val="3"/>
                  <w:vAlign w:val="center"/>
                </w:tcPr>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06103">
                    <w:rPr>
                      <w:rFonts w:ascii="Times New Roman" w:eastAsia="Times New Roman" w:hAnsi="Times New Roman" w:cs="Times New Roman"/>
                      <w:sz w:val="18"/>
                      <w:szCs w:val="18"/>
                      <w:u w:val="single"/>
                      <w:lang w:eastAsia="tr-TR"/>
                    </w:rPr>
                    <w:t>Sermaye Piyasası Kurulundan:</w:t>
                  </w:r>
                </w:p>
                <w:p w:rsidR="00806103" w:rsidRPr="00806103" w:rsidRDefault="00806103" w:rsidP="00806103">
                  <w:pPr>
                    <w:tabs>
                      <w:tab w:val="left" w:pos="566"/>
                    </w:tabs>
                    <w:spacing w:line="240" w:lineRule="exact"/>
                    <w:ind w:right="0"/>
                    <w:jc w:val="center"/>
                    <w:rPr>
                      <w:rFonts w:ascii="Times New Roman" w:eastAsia="Times New Roman" w:hAnsi="Times New Roman" w:cs="Times New Roman"/>
                      <w:b/>
                      <w:sz w:val="18"/>
                      <w:szCs w:val="18"/>
                      <w:lang w:eastAsia="tr-TR"/>
                    </w:rPr>
                  </w:pPr>
                  <w:r w:rsidRPr="00806103">
                    <w:rPr>
                      <w:rFonts w:ascii="Times New Roman" w:eastAsia="Times New Roman" w:hAnsi="Times New Roman" w:cs="Times New Roman"/>
                      <w:b/>
                      <w:sz w:val="18"/>
                      <w:szCs w:val="18"/>
                      <w:lang w:eastAsia="tr-TR"/>
                    </w:rPr>
                    <w:t>BORSA İSTANBUL A.Ş. BORSACILIK FAALİYETLERİNE İLİŞKİN</w:t>
                  </w:r>
                </w:p>
                <w:p w:rsidR="00806103" w:rsidRPr="00806103" w:rsidRDefault="00806103" w:rsidP="00806103">
                  <w:pPr>
                    <w:tabs>
                      <w:tab w:val="left" w:pos="566"/>
                    </w:tabs>
                    <w:spacing w:line="240" w:lineRule="exact"/>
                    <w:ind w:right="0"/>
                    <w:jc w:val="center"/>
                    <w:rPr>
                      <w:rFonts w:ascii="Times New Roman" w:eastAsia="Times New Roman" w:hAnsi="Times New Roman" w:cs="Times New Roman"/>
                      <w:b/>
                      <w:sz w:val="18"/>
                      <w:szCs w:val="18"/>
                      <w:lang w:eastAsia="tr-TR"/>
                    </w:rPr>
                  </w:pPr>
                  <w:r w:rsidRPr="00806103">
                    <w:rPr>
                      <w:rFonts w:ascii="Times New Roman" w:eastAsia="Times New Roman" w:hAnsi="Times New Roman" w:cs="Times New Roman"/>
                      <w:b/>
                      <w:sz w:val="18"/>
                      <w:szCs w:val="18"/>
                      <w:lang w:eastAsia="tr-TR"/>
                    </w:rPr>
                    <w:t>ESASLAR YÖNETMELİĞİNDE DEĞİŞİKLİK YAPILMASINA</w:t>
                  </w:r>
                </w:p>
                <w:p w:rsidR="00806103" w:rsidRPr="00806103" w:rsidRDefault="00806103" w:rsidP="00806103">
                  <w:pPr>
                    <w:tabs>
                      <w:tab w:val="left" w:pos="566"/>
                    </w:tabs>
                    <w:spacing w:line="240" w:lineRule="exact"/>
                    <w:ind w:right="0"/>
                    <w:jc w:val="center"/>
                    <w:rPr>
                      <w:rFonts w:ascii="Times New Roman" w:eastAsia="Times New Roman" w:hAnsi="Times New Roman" w:cs="Times New Roman"/>
                      <w:b/>
                      <w:sz w:val="18"/>
                      <w:szCs w:val="18"/>
                      <w:lang w:eastAsia="tr-TR"/>
                    </w:rPr>
                  </w:pPr>
                  <w:r w:rsidRPr="00806103">
                    <w:rPr>
                      <w:rFonts w:ascii="Times New Roman" w:eastAsia="Times New Roman" w:hAnsi="Times New Roman" w:cs="Times New Roman"/>
                      <w:b/>
                      <w:sz w:val="18"/>
                      <w:szCs w:val="18"/>
                      <w:lang w:eastAsia="tr-TR"/>
                    </w:rPr>
                    <w:t>DAİR YÖNETMELİK</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b/>
                      <w:sz w:val="18"/>
                      <w:szCs w:val="18"/>
                      <w:lang w:eastAsia="tr-TR"/>
                    </w:rPr>
                    <w:t>MADDE 1 –</w:t>
                  </w:r>
                  <w:r w:rsidRPr="00806103">
                    <w:rPr>
                      <w:rFonts w:ascii="Times New Roman" w:eastAsia="Times New Roman" w:hAnsi="Times New Roman" w:cs="Times New Roman"/>
                      <w:sz w:val="18"/>
                      <w:szCs w:val="18"/>
                      <w:lang w:eastAsia="tr-TR"/>
                    </w:rPr>
                    <w:t xml:space="preserve"> </w:t>
                  </w:r>
                  <w:proofErr w:type="gramStart"/>
                  <w:r w:rsidRPr="00806103">
                    <w:rPr>
                      <w:rFonts w:ascii="Times New Roman" w:eastAsia="Times New Roman" w:hAnsi="Times New Roman" w:cs="Times New Roman"/>
                      <w:sz w:val="18"/>
                      <w:szCs w:val="18"/>
                      <w:lang w:eastAsia="tr-TR"/>
                    </w:rPr>
                    <w:t>19/10/2014</w:t>
                  </w:r>
                  <w:proofErr w:type="gramEnd"/>
                  <w:r w:rsidRPr="00806103">
                    <w:rPr>
                      <w:rFonts w:ascii="Times New Roman" w:eastAsia="Times New Roman" w:hAnsi="Times New Roman" w:cs="Times New Roman"/>
                      <w:sz w:val="18"/>
                      <w:szCs w:val="18"/>
                      <w:lang w:eastAsia="tr-TR"/>
                    </w:rPr>
                    <w:t xml:space="preserve"> tarihli ve 29150 sayılı Resmî </w:t>
                  </w:r>
                  <w:proofErr w:type="spellStart"/>
                  <w:r w:rsidRPr="00806103">
                    <w:rPr>
                      <w:rFonts w:ascii="Times New Roman" w:eastAsia="Times New Roman" w:hAnsi="Times New Roman" w:cs="Times New Roman"/>
                      <w:sz w:val="18"/>
                      <w:szCs w:val="18"/>
                      <w:lang w:eastAsia="tr-TR"/>
                    </w:rPr>
                    <w:t>Gazete’de</w:t>
                  </w:r>
                  <w:proofErr w:type="spellEnd"/>
                  <w:r w:rsidRPr="00806103">
                    <w:rPr>
                      <w:rFonts w:ascii="Times New Roman" w:eastAsia="Times New Roman" w:hAnsi="Times New Roman" w:cs="Times New Roman"/>
                      <w:sz w:val="18"/>
                      <w:szCs w:val="18"/>
                      <w:lang w:eastAsia="tr-TR"/>
                    </w:rPr>
                    <w:t xml:space="preserve"> yayımlanan Borsa İstanbul A.Ş. Borsacılık Faaliyetlerine İlişkin Esaslar Yönetmeliğinin 20 </w:t>
                  </w:r>
                  <w:proofErr w:type="spellStart"/>
                  <w:r w:rsidRPr="00806103">
                    <w:rPr>
                      <w:rFonts w:ascii="Times New Roman" w:eastAsia="Times New Roman" w:hAnsi="Times New Roman" w:cs="Times New Roman"/>
                      <w:sz w:val="18"/>
                      <w:szCs w:val="18"/>
                      <w:lang w:eastAsia="tr-TR"/>
                    </w:rPr>
                    <w:t>nci</w:t>
                  </w:r>
                  <w:proofErr w:type="spellEnd"/>
                  <w:r w:rsidRPr="00806103">
                    <w:rPr>
                      <w:rFonts w:ascii="Times New Roman" w:eastAsia="Times New Roman" w:hAnsi="Times New Roman" w:cs="Times New Roman"/>
                      <w:sz w:val="18"/>
                      <w:szCs w:val="18"/>
                      <w:lang w:eastAsia="tr-TR"/>
                    </w:rPr>
                    <w:t xml:space="preserve"> maddesinin birinci, üçüncü ve beşinci fıkraları aşağıdaki şekilde değiştirilmiştir.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“(1) Kotasyon ücretleri;</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a) Başvuru,</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b) Kota alma,</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c) İlave kota alma,</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ç) Kotta kalma,</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d) Yeniden kota alma,</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e) Toptan alış satış işlem,</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103">
                    <w:rPr>
                      <w:rFonts w:ascii="Times New Roman" w:eastAsia="Times New Roman" w:hAnsi="Times New Roman" w:cs="Times New Roman"/>
                      <w:sz w:val="18"/>
                      <w:szCs w:val="18"/>
                      <w:lang w:eastAsia="tr-TR"/>
                    </w:rPr>
                    <w:t>ücretlerinden</w:t>
                  </w:r>
                  <w:proofErr w:type="gramEnd"/>
                  <w:r w:rsidRPr="00806103">
                    <w:rPr>
                      <w:rFonts w:ascii="Times New Roman" w:eastAsia="Times New Roman" w:hAnsi="Times New Roman" w:cs="Times New Roman"/>
                      <w:sz w:val="18"/>
                      <w:szCs w:val="18"/>
                      <w:lang w:eastAsia="tr-TR"/>
                    </w:rPr>
                    <w:t xml:space="preserve"> oluşur.”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“(3) Kota alma, ilave kota alma, kotta kalma, yeniden kota alma ücretleri, sermaye piyasası araçları Borsa kotunda olmayan ancak Borsada işlem gören ortaklıklar ve ihraççılar için de uygulanır.”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“(5) Sermaye piyasası araçlarının Borsa kotundan çıkarılması halinde kotasyon ücretleri iade edilmez.”</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b/>
                      <w:sz w:val="18"/>
                      <w:szCs w:val="18"/>
                      <w:lang w:eastAsia="tr-TR"/>
                    </w:rPr>
                    <w:t xml:space="preserve">MADDE 2 – </w:t>
                  </w:r>
                  <w:r w:rsidRPr="00806103">
                    <w:rPr>
                      <w:rFonts w:ascii="Times New Roman" w:eastAsia="Times New Roman" w:hAnsi="Times New Roman" w:cs="Times New Roman"/>
                      <w:sz w:val="18"/>
                      <w:szCs w:val="18"/>
                      <w:lang w:eastAsia="tr-TR"/>
                    </w:rPr>
                    <w:t>Aynı Yönetmeliğin 21 inci maddesinin ikinci, beşinci, yedinci ve sekizinci fıkraları aşağıdaki şekilde değiştirilmiştir.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 xml:space="preserve">“(2) Ortaklık haklarını temsil eden sermaye piyasası araçlarının ilk defa kota alınmasında kota alma ücreti alınmaz. Ortaklık haklarını temsil eden sermaye piyasası araçları Borsa kotunda olan ortaklıkların yapmış olduğu ilave kota alma başvurularında, artırılan sermayelerinin </w:t>
                  </w:r>
                  <w:proofErr w:type="gramStart"/>
                  <w:r w:rsidRPr="00806103">
                    <w:rPr>
                      <w:rFonts w:ascii="Times New Roman" w:eastAsia="Times New Roman" w:hAnsi="Times New Roman" w:cs="Times New Roman"/>
                      <w:sz w:val="18"/>
                      <w:szCs w:val="18"/>
                      <w:lang w:eastAsia="tr-TR"/>
                    </w:rPr>
                    <w:t>nominal</w:t>
                  </w:r>
                  <w:proofErr w:type="gramEnd"/>
                  <w:r w:rsidRPr="00806103">
                    <w:rPr>
                      <w:rFonts w:ascii="Times New Roman" w:eastAsia="Times New Roman" w:hAnsi="Times New Roman" w:cs="Times New Roman"/>
                      <w:sz w:val="18"/>
                      <w:szCs w:val="18"/>
                      <w:lang w:eastAsia="tr-TR"/>
                    </w:rPr>
                    <w:t xml:space="preserve"> tutarı üzerinden ilave kota alma ücreti alınır.”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“(5) Borsa yatırım fonları için kota alma ücreti, fon toplam değeri üzerinden hesaplanır.”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“(7) Borsada işlem görmeyen nitelikte olan ortaklık haklarını temsil eden sermaye piyasası araçları için toptan alış satış işlemlerinde, toplam satış tutarı üzerinden toptan alış satış işlem ücreti alınır. Borsada işlem gören nitelikteki ortaklık haklarını temsil eden sermaye piyasası araçlarının, sermaye artırım yöntemiyle gerçekleştirilen satış işlemlerinden ücret alınmaz. Ortakların sahip olduğu ortaklık haklarını temsil eden sermaye piyasası araçlarının satışı durumunda satış işlemlerinden ilave kota alma tarifesiyle aynı oranda ücret alınır.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(8) Bu madde kapsamında belirlenen ücretler fatura tarihini izleyen 30 iş günü içerisinde ödenir.”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b/>
                      <w:sz w:val="18"/>
                      <w:szCs w:val="18"/>
                      <w:lang w:eastAsia="tr-TR"/>
                    </w:rPr>
                    <w:t xml:space="preserve">MADDE 3 – </w:t>
                  </w:r>
                  <w:r w:rsidRPr="00806103">
                    <w:rPr>
                      <w:rFonts w:ascii="Times New Roman" w:eastAsia="Times New Roman" w:hAnsi="Times New Roman" w:cs="Times New Roman"/>
                      <w:sz w:val="18"/>
                      <w:szCs w:val="18"/>
                      <w:lang w:eastAsia="tr-TR"/>
                    </w:rPr>
                    <w:t xml:space="preserve">Aynı Yönetmeliğin 22 </w:t>
                  </w:r>
                  <w:proofErr w:type="spellStart"/>
                  <w:r w:rsidRPr="00806103">
                    <w:rPr>
                      <w:rFonts w:ascii="Times New Roman" w:eastAsia="Times New Roman" w:hAnsi="Times New Roman" w:cs="Times New Roman"/>
                      <w:sz w:val="18"/>
                      <w:szCs w:val="18"/>
                      <w:lang w:eastAsia="tr-TR"/>
                    </w:rPr>
                    <w:t>nci</w:t>
                  </w:r>
                  <w:proofErr w:type="spellEnd"/>
                  <w:r w:rsidRPr="00806103">
                    <w:rPr>
                      <w:rFonts w:ascii="Times New Roman" w:eastAsia="Times New Roman" w:hAnsi="Times New Roman" w:cs="Times New Roman"/>
                      <w:sz w:val="18"/>
                      <w:szCs w:val="18"/>
                      <w:lang w:eastAsia="tr-TR"/>
                    </w:rPr>
                    <w:t xml:space="preserve"> maddesinin birinci fıkrasının (a), (b) ve (c) bentleri ile ikinci fıkrası aşağıdaki şekilde değiştirilmiştir.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 xml:space="preserve">“a) Ortaklık haklarını temsil eden sermaye piyasası araçları için kotta kalma ücreti, bir önceki yılın Aralık ayı sonu itibarıyla ortaklığın Borsa kotunda bulunan </w:t>
                  </w:r>
                  <w:proofErr w:type="gramStart"/>
                  <w:r w:rsidRPr="00806103">
                    <w:rPr>
                      <w:rFonts w:ascii="Times New Roman" w:eastAsia="Times New Roman" w:hAnsi="Times New Roman" w:cs="Times New Roman"/>
                      <w:sz w:val="18"/>
                      <w:szCs w:val="18"/>
                      <w:lang w:eastAsia="tr-TR"/>
                    </w:rPr>
                    <w:t>nominal</w:t>
                  </w:r>
                  <w:proofErr w:type="gramEnd"/>
                  <w:r w:rsidRPr="00806103">
                    <w:rPr>
                      <w:rFonts w:ascii="Times New Roman" w:eastAsia="Times New Roman" w:hAnsi="Times New Roman" w:cs="Times New Roman"/>
                      <w:sz w:val="18"/>
                      <w:szCs w:val="18"/>
                      <w:lang w:eastAsia="tr-TR"/>
                    </w:rPr>
                    <w:t xml:space="preserve"> sermayesi üzerinden hesaplanan tutar ve bu payların yıllık ortalama piyasa değeri üzerinden hesaplanan tutarın toplamından oluşur. Ortaklık haklarını temsil eden sermaye piyasası araçları Borsa kotunda olmayan ancak Borsada işlem gören ortaklıklardan da aynı esaslarda ücret alınır.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b) Borçluluğu temsil eden sermaye piyasası araçlarında, bir önceki yılın Aralık ayı sonu itibariyle kotta bulunan her tertip için maktu bir kotta kalma ücreti alınır.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c) Borsa yatırım fonları için kotta kalma ücreti, bir önceki yılın Aralık ayı sonu itibariyle Borsa kotunda bulunan fon toplam değeri üzerinden hesaplanır.”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“(2) Bu madde kapsamında belirlenen ücretler fatura tarihini izleyen 30 iş günü içerisinde ödenir.”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b/>
                      <w:sz w:val="18"/>
                      <w:szCs w:val="18"/>
                      <w:lang w:eastAsia="tr-TR"/>
                    </w:rPr>
                    <w:t xml:space="preserve">MADDE 4 – </w:t>
                  </w:r>
                  <w:r w:rsidRPr="00806103">
                    <w:rPr>
                      <w:rFonts w:ascii="Times New Roman" w:eastAsia="Times New Roman" w:hAnsi="Times New Roman" w:cs="Times New Roman"/>
                      <w:sz w:val="18"/>
                      <w:szCs w:val="18"/>
                      <w:lang w:eastAsia="tr-TR"/>
                    </w:rPr>
                    <w:t>Aynı Yönetmeliğin 23 üncü maddesi aşağıdaki şekilde değiştirilmiştir.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sz w:val="18"/>
                      <w:szCs w:val="18"/>
                      <w:lang w:eastAsia="tr-TR"/>
                    </w:rPr>
                    <w:t>“</w:t>
                  </w:r>
                  <w:r w:rsidRPr="00806103">
                    <w:rPr>
                      <w:rFonts w:ascii="Times New Roman" w:eastAsia="Times New Roman" w:hAnsi="Times New Roman" w:cs="Times New Roman"/>
                      <w:b/>
                      <w:sz w:val="18"/>
                      <w:szCs w:val="18"/>
                      <w:lang w:eastAsia="tr-TR"/>
                    </w:rPr>
                    <w:t>MADDE 23 –</w:t>
                  </w:r>
                  <w:r w:rsidRPr="00806103">
                    <w:rPr>
                      <w:rFonts w:ascii="Times New Roman" w:eastAsia="Times New Roman" w:hAnsi="Times New Roman" w:cs="Times New Roman"/>
                      <w:sz w:val="18"/>
                      <w:szCs w:val="18"/>
                      <w:lang w:eastAsia="tr-TR"/>
                    </w:rPr>
                    <w:t xml:space="preserve"> (1) Kottan çıkarılan sermaye piyasası araçlarının tekrar Borsa kotuna alınması durumunda ortaklıklar tarafından yeniden kota alma ücreti, ilave kota alma ücret tarifesine göre hesaplanır ve fatura tarihini izleyen 30 iş günü içinde ödenir.”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b/>
                      <w:sz w:val="18"/>
                      <w:szCs w:val="18"/>
                      <w:lang w:eastAsia="tr-TR"/>
                    </w:rPr>
                    <w:t xml:space="preserve">MADDE 5 – </w:t>
                  </w:r>
                  <w:r w:rsidRPr="00806103">
                    <w:rPr>
                      <w:rFonts w:ascii="Times New Roman" w:eastAsia="Times New Roman" w:hAnsi="Times New Roman" w:cs="Times New Roman"/>
                      <w:sz w:val="18"/>
                      <w:szCs w:val="18"/>
                      <w:lang w:eastAsia="tr-TR"/>
                    </w:rPr>
                    <w:t>Bu Yönetmelik yayımı tarihinde yürürlüğe girer.</w:t>
                  </w:r>
                </w:p>
                <w:p w:rsidR="00806103" w:rsidRPr="00806103" w:rsidRDefault="00806103" w:rsidP="0080610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103">
                    <w:rPr>
                      <w:rFonts w:ascii="Times New Roman" w:eastAsia="Times New Roman" w:hAnsi="Times New Roman" w:cs="Times New Roman"/>
                      <w:b/>
                      <w:sz w:val="18"/>
                      <w:szCs w:val="18"/>
                      <w:lang w:eastAsia="tr-TR"/>
                    </w:rPr>
                    <w:t xml:space="preserve">MADDE 6 – </w:t>
                  </w:r>
                  <w:r w:rsidRPr="00806103">
                    <w:rPr>
                      <w:rFonts w:ascii="Times New Roman" w:eastAsia="Times New Roman" w:hAnsi="Times New Roman" w:cs="Times New Roman"/>
                      <w:sz w:val="18"/>
                      <w:szCs w:val="18"/>
                      <w:lang w:eastAsia="tr-TR"/>
                    </w:rPr>
                    <w:t>Bu Yönetmelik hükümlerini Borsa Yönetim Kurulu yürütür.</w:t>
                  </w:r>
                </w:p>
                <w:p w:rsidR="00806103" w:rsidRPr="00806103" w:rsidRDefault="00806103" w:rsidP="00806103">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806103" w:rsidRPr="00806103">
                    <w:trPr>
                      <w:jc w:val="center"/>
                    </w:trPr>
                    <w:tc>
                      <w:tcPr>
                        <w:tcW w:w="8505" w:type="dxa"/>
                        <w:gridSpan w:val="2"/>
                        <w:tcBorders>
                          <w:top w:val="single" w:sz="4" w:space="0" w:color="auto"/>
                          <w:left w:val="single" w:sz="4" w:space="0" w:color="auto"/>
                          <w:bottom w:val="nil"/>
                          <w:right w:val="single" w:sz="4" w:space="0" w:color="auto"/>
                        </w:tcBorders>
                        <w:hideMark/>
                      </w:tcPr>
                      <w:p w:rsidR="00806103" w:rsidRPr="00806103" w:rsidRDefault="00806103" w:rsidP="00806103">
                        <w:pPr>
                          <w:tabs>
                            <w:tab w:val="left" w:pos="566"/>
                          </w:tabs>
                          <w:spacing w:line="240" w:lineRule="exact"/>
                          <w:jc w:val="center"/>
                          <w:rPr>
                            <w:b/>
                            <w:sz w:val="18"/>
                            <w:szCs w:val="18"/>
                          </w:rPr>
                        </w:pPr>
                        <w:r w:rsidRPr="00806103">
                          <w:rPr>
                            <w:b/>
                            <w:sz w:val="18"/>
                            <w:szCs w:val="18"/>
                          </w:rPr>
                          <w:t>Yönetmeliğin Yayımlandığı Resmî Gazete'nin</w:t>
                        </w:r>
                      </w:p>
                    </w:tc>
                  </w:tr>
                  <w:tr w:rsidR="00806103" w:rsidRPr="00806103">
                    <w:trPr>
                      <w:jc w:val="center"/>
                    </w:trPr>
                    <w:tc>
                      <w:tcPr>
                        <w:tcW w:w="4254" w:type="dxa"/>
                        <w:tcBorders>
                          <w:top w:val="nil"/>
                          <w:left w:val="single" w:sz="4" w:space="0" w:color="auto"/>
                          <w:bottom w:val="single" w:sz="4" w:space="0" w:color="auto"/>
                          <w:right w:val="nil"/>
                        </w:tcBorders>
                        <w:hideMark/>
                      </w:tcPr>
                      <w:p w:rsidR="00806103" w:rsidRPr="00806103" w:rsidRDefault="00806103" w:rsidP="00806103">
                        <w:pPr>
                          <w:tabs>
                            <w:tab w:val="left" w:pos="566"/>
                          </w:tabs>
                          <w:spacing w:line="240" w:lineRule="exact"/>
                          <w:jc w:val="center"/>
                          <w:rPr>
                            <w:b/>
                            <w:sz w:val="18"/>
                            <w:szCs w:val="18"/>
                          </w:rPr>
                        </w:pPr>
                        <w:r w:rsidRPr="00806103">
                          <w:rPr>
                            <w:b/>
                            <w:sz w:val="18"/>
                            <w:szCs w:val="18"/>
                          </w:rPr>
                          <w:t>Tarihi</w:t>
                        </w:r>
                      </w:p>
                    </w:tc>
                    <w:tc>
                      <w:tcPr>
                        <w:tcW w:w="4251" w:type="dxa"/>
                        <w:tcBorders>
                          <w:top w:val="nil"/>
                          <w:left w:val="nil"/>
                          <w:bottom w:val="single" w:sz="4" w:space="0" w:color="auto"/>
                          <w:right w:val="single" w:sz="4" w:space="0" w:color="auto"/>
                        </w:tcBorders>
                        <w:hideMark/>
                      </w:tcPr>
                      <w:p w:rsidR="00806103" w:rsidRPr="00806103" w:rsidRDefault="00806103" w:rsidP="00806103">
                        <w:pPr>
                          <w:tabs>
                            <w:tab w:val="left" w:pos="566"/>
                          </w:tabs>
                          <w:spacing w:line="240" w:lineRule="exact"/>
                          <w:jc w:val="center"/>
                          <w:rPr>
                            <w:b/>
                            <w:sz w:val="18"/>
                            <w:szCs w:val="18"/>
                          </w:rPr>
                        </w:pPr>
                        <w:r w:rsidRPr="00806103">
                          <w:rPr>
                            <w:b/>
                            <w:sz w:val="18"/>
                            <w:szCs w:val="18"/>
                          </w:rPr>
                          <w:t>Sayısı</w:t>
                        </w:r>
                      </w:p>
                    </w:tc>
                  </w:tr>
                  <w:tr w:rsidR="00806103" w:rsidRPr="00806103">
                    <w:trPr>
                      <w:jc w:val="center"/>
                    </w:trPr>
                    <w:tc>
                      <w:tcPr>
                        <w:tcW w:w="4254" w:type="dxa"/>
                        <w:tcBorders>
                          <w:top w:val="single" w:sz="4" w:space="0" w:color="auto"/>
                          <w:left w:val="single" w:sz="4" w:space="0" w:color="auto"/>
                          <w:bottom w:val="single" w:sz="4" w:space="0" w:color="auto"/>
                          <w:right w:val="single" w:sz="4" w:space="0" w:color="auto"/>
                        </w:tcBorders>
                        <w:hideMark/>
                      </w:tcPr>
                      <w:p w:rsidR="00806103" w:rsidRPr="00806103" w:rsidRDefault="00806103" w:rsidP="00806103">
                        <w:pPr>
                          <w:tabs>
                            <w:tab w:val="left" w:pos="566"/>
                          </w:tabs>
                          <w:spacing w:line="240" w:lineRule="exact"/>
                          <w:jc w:val="center"/>
                          <w:rPr>
                            <w:sz w:val="18"/>
                            <w:szCs w:val="18"/>
                          </w:rPr>
                        </w:pPr>
                        <w:proofErr w:type="gramStart"/>
                        <w:r w:rsidRPr="00806103">
                          <w:rPr>
                            <w:sz w:val="18"/>
                            <w:szCs w:val="18"/>
                          </w:rPr>
                          <w:t>19/10/2014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06103" w:rsidRPr="00806103" w:rsidRDefault="00806103" w:rsidP="00806103">
                        <w:pPr>
                          <w:tabs>
                            <w:tab w:val="left" w:pos="566"/>
                          </w:tabs>
                          <w:spacing w:line="240" w:lineRule="exact"/>
                          <w:jc w:val="center"/>
                          <w:rPr>
                            <w:sz w:val="18"/>
                            <w:szCs w:val="18"/>
                          </w:rPr>
                        </w:pPr>
                        <w:r w:rsidRPr="00806103">
                          <w:rPr>
                            <w:sz w:val="18"/>
                            <w:szCs w:val="18"/>
                          </w:rPr>
                          <w:t>29150</w:t>
                        </w:r>
                      </w:p>
                    </w:tc>
                  </w:tr>
                  <w:tr w:rsidR="00806103" w:rsidRPr="00806103">
                    <w:trPr>
                      <w:jc w:val="center"/>
                    </w:trPr>
                    <w:tc>
                      <w:tcPr>
                        <w:tcW w:w="8505" w:type="dxa"/>
                        <w:gridSpan w:val="2"/>
                        <w:tcBorders>
                          <w:top w:val="single" w:sz="4" w:space="0" w:color="auto"/>
                          <w:left w:val="single" w:sz="4" w:space="0" w:color="auto"/>
                          <w:bottom w:val="nil"/>
                          <w:right w:val="single" w:sz="4" w:space="0" w:color="auto"/>
                        </w:tcBorders>
                        <w:hideMark/>
                      </w:tcPr>
                      <w:p w:rsidR="00806103" w:rsidRPr="00806103" w:rsidRDefault="00806103" w:rsidP="00806103">
                        <w:pPr>
                          <w:tabs>
                            <w:tab w:val="left" w:pos="566"/>
                          </w:tabs>
                          <w:spacing w:line="240" w:lineRule="exact"/>
                          <w:jc w:val="center"/>
                          <w:rPr>
                            <w:b/>
                            <w:sz w:val="18"/>
                            <w:szCs w:val="18"/>
                          </w:rPr>
                        </w:pPr>
                        <w:r w:rsidRPr="00806103">
                          <w:rPr>
                            <w:b/>
                            <w:sz w:val="18"/>
                            <w:szCs w:val="18"/>
                          </w:rPr>
                          <w:t>Yönetmelikte Değişiklik Yapan Yönetmeliğin Yayımlandığı Resmî Gazete'nin</w:t>
                        </w:r>
                      </w:p>
                    </w:tc>
                  </w:tr>
                  <w:tr w:rsidR="00806103" w:rsidRPr="00806103">
                    <w:trPr>
                      <w:jc w:val="center"/>
                    </w:trPr>
                    <w:tc>
                      <w:tcPr>
                        <w:tcW w:w="4254" w:type="dxa"/>
                        <w:tcBorders>
                          <w:top w:val="nil"/>
                          <w:left w:val="single" w:sz="4" w:space="0" w:color="auto"/>
                          <w:bottom w:val="single" w:sz="4" w:space="0" w:color="auto"/>
                          <w:right w:val="nil"/>
                        </w:tcBorders>
                        <w:hideMark/>
                      </w:tcPr>
                      <w:p w:rsidR="00806103" w:rsidRPr="00806103" w:rsidRDefault="00806103" w:rsidP="00806103">
                        <w:pPr>
                          <w:tabs>
                            <w:tab w:val="left" w:pos="566"/>
                          </w:tabs>
                          <w:spacing w:line="240" w:lineRule="exact"/>
                          <w:jc w:val="center"/>
                          <w:rPr>
                            <w:b/>
                            <w:sz w:val="18"/>
                            <w:szCs w:val="18"/>
                          </w:rPr>
                        </w:pPr>
                        <w:r w:rsidRPr="00806103">
                          <w:rPr>
                            <w:b/>
                            <w:sz w:val="18"/>
                            <w:szCs w:val="18"/>
                          </w:rPr>
                          <w:t>Tarihi</w:t>
                        </w:r>
                      </w:p>
                    </w:tc>
                    <w:tc>
                      <w:tcPr>
                        <w:tcW w:w="4251" w:type="dxa"/>
                        <w:tcBorders>
                          <w:top w:val="nil"/>
                          <w:left w:val="nil"/>
                          <w:bottom w:val="single" w:sz="4" w:space="0" w:color="auto"/>
                          <w:right w:val="single" w:sz="4" w:space="0" w:color="auto"/>
                        </w:tcBorders>
                        <w:hideMark/>
                      </w:tcPr>
                      <w:p w:rsidR="00806103" w:rsidRPr="00806103" w:rsidRDefault="00806103" w:rsidP="00806103">
                        <w:pPr>
                          <w:tabs>
                            <w:tab w:val="left" w:pos="566"/>
                          </w:tabs>
                          <w:spacing w:line="240" w:lineRule="exact"/>
                          <w:jc w:val="center"/>
                          <w:rPr>
                            <w:b/>
                            <w:sz w:val="18"/>
                            <w:szCs w:val="18"/>
                          </w:rPr>
                        </w:pPr>
                        <w:r w:rsidRPr="00806103">
                          <w:rPr>
                            <w:b/>
                            <w:sz w:val="18"/>
                            <w:szCs w:val="18"/>
                          </w:rPr>
                          <w:t>Sayısı</w:t>
                        </w:r>
                      </w:p>
                    </w:tc>
                  </w:tr>
                  <w:tr w:rsidR="00806103" w:rsidRPr="00806103">
                    <w:trPr>
                      <w:jc w:val="center"/>
                    </w:trPr>
                    <w:tc>
                      <w:tcPr>
                        <w:tcW w:w="4254" w:type="dxa"/>
                        <w:tcBorders>
                          <w:top w:val="single" w:sz="4" w:space="0" w:color="auto"/>
                          <w:left w:val="single" w:sz="4" w:space="0" w:color="auto"/>
                          <w:bottom w:val="single" w:sz="4" w:space="0" w:color="auto"/>
                          <w:right w:val="single" w:sz="4" w:space="0" w:color="auto"/>
                        </w:tcBorders>
                        <w:hideMark/>
                      </w:tcPr>
                      <w:p w:rsidR="00806103" w:rsidRPr="00806103" w:rsidRDefault="00806103" w:rsidP="00806103">
                        <w:pPr>
                          <w:tabs>
                            <w:tab w:val="left" w:pos="566"/>
                          </w:tabs>
                          <w:spacing w:line="240" w:lineRule="exact"/>
                          <w:jc w:val="center"/>
                          <w:rPr>
                            <w:sz w:val="18"/>
                            <w:szCs w:val="18"/>
                          </w:rPr>
                        </w:pPr>
                        <w:proofErr w:type="gramStart"/>
                        <w:r w:rsidRPr="00806103">
                          <w:rPr>
                            <w:sz w:val="18"/>
                            <w:szCs w:val="18"/>
                          </w:rPr>
                          <w:t>28/8/2015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06103" w:rsidRPr="00806103" w:rsidRDefault="00806103" w:rsidP="00806103">
                        <w:pPr>
                          <w:tabs>
                            <w:tab w:val="left" w:pos="566"/>
                          </w:tabs>
                          <w:spacing w:line="240" w:lineRule="exact"/>
                          <w:jc w:val="center"/>
                          <w:rPr>
                            <w:sz w:val="18"/>
                            <w:szCs w:val="18"/>
                          </w:rPr>
                        </w:pPr>
                        <w:r w:rsidRPr="00806103">
                          <w:rPr>
                            <w:sz w:val="18"/>
                            <w:szCs w:val="18"/>
                          </w:rPr>
                          <w:t>29459</w:t>
                        </w:r>
                      </w:p>
                    </w:tc>
                  </w:tr>
                </w:tbl>
                <w:p w:rsidR="00806103" w:rsidRPr="00806103" w:rsidRDefault="00806103" w:rsidP="00806103">
                  <w:pPr>
                    <w:tabs>
                      <w:tab w:val="left" w:pos="566"/>
                    </w:tabs>
                    <w:spacing w:line="240" w:lineRule="exact"/>
                    <w:ind w:right="0"/>
                    <w:jc w:val="center"/>
                    <w:rPr>
                      <w:rFonts w:ascii="Times New Roman" w:eastAsia="Times New Roman" w:hAnsi="Times New Roman" w:cs="Times New Roman"/>
                      <w:sz w:val="18"/>
                      <w:szCs w:val="18"/>
                      <w:lang w:eastAsia="tr-TR"/>
                    </w:rPr>
                  </w:pPr>
                </w:p>
                <w:p w:rsidR="00806103" w:rsidRPr="00806103" w:rsidRDefault="00806103" w:rsidP="0080610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806103" w:rsidRPr="00806103" w:rsidRDefault="00806103" w:rsidP="00806103">
            <w:pPr>
              <w:spacing w:line="240" w:lineRule="auto"/>
              <w:ind w:right="0"/>
              <w:jc w:val="center"/>
              <w:rPr>
                <w:rFonts w:ascii="Times New Roman" w:eastAsia="Times New Roman" w:hAnsi="Times New Roman" w:cs="Times New Roman"/>
                <w:sz w:val="20"/>
                <w:szCs w:val="20"/>
                <w:lang w:eastAsia="tr-TR"/>
              </w:rPr>
            </w:pPr>
          </w:p>
        </w:tc>
      </w:tr>
    </w:tbl>
    <w:p w:rsidR="00806103" w:rsidRPr="00806103" w:rsidRDefault="00806103" w:rsidP="00806103">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2"/>
  </w:compat>
  <w:rsids>
    <w:rsidRoot w:val="005E7E6B"/>
    <w:rsid w:val="0046759C"/>
    <w:rsid w:val="005E7E6B"/>
    <w:rsid w:val="00806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E929E-601A-411B-9B51-6A6E3753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80610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806103"/>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806103"/>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806103"/>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806103"/>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806103"/>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436365">
      <w:bodyDiv w:val="1"/>
      <w:marLeft w:val="0"/>
      <w:marRight w:val="0"/>
      <w:marTop w:val="0"/>
      <w:marBottom w:val="0"/>
      <w:divBdr>
        <w:top w:val="none" w:sz="0" w:space="0" w:color="auto"/>
        <w:left w:val="none" w:sz="0" w:space="0" w:color="auto"/>
        <w:bottom w:val="none" w:sz="0" w:space="0" w:color="auto"/>
        <w:right w:val="none" w:sz="0" w:space="0" w:color="auto"/>
      </w:divBdr>
      <w:divsChild>
        <w:div w:id="1350177502">
          <w:marLeft w:val="0"/>
          <w:marRight w:val="0"/>
          <w:marTop w:val="0"/>
          <w:marBottom w:val="0"/>
          <w:divBdr>
            <w:top w:val="none" w:sz="0" w:space="0" w:color="auto"/>
            <w:left w:val="none" w:sz="0" w:space="0" w:color="auto"/>
            <w:bottom w:val="none" w:sz="0" w:space="0" w:color="auto"/>
            <w:right w:val="none" w:sz="0" w:space="0" w:color="auto"/>
          </w:divBdr>
          <w:divsChild>
            <w:div w:id="458769675">
              <w:marLeft w:val="0"/>
              <w:marRight w:val="0"/>
              <w:marTop w:val="0"/>
              <w:marBottom w:val="0"/>
              <w:divBdr>
                <w:top w:val="none" w:sz="0" w:space="0" w:color="auto"/>
                <w:left w:val="none" w:sz="0" w:space="0" w:color="auto"/>
                <w:bottom w:val="none" w:sz="0" w:space="0" w:color="auto"/>
                <w:right w:val="none" w:sz="0" w:space="0" w:color="auto"/>
              </w:divBdr>
              <w:divsChild>
                <w:div w:id="171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2016-04-29T05:40:00Z</dcterms:created>
  <dcterms:modified xsi:type="dcterms:W3CDTF">2016-04-29T05:40:00Z</dcterms:modified>
</cp:coreProperties>
</file>