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991195" w:rsidRPr="00991195" w:rsidTr="0099119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991195" w:rsidRPr="00991195">
              <w:trPr>
                <w:trHeight w:val="317"/>
                <w:jc w:val="center"/>
              </w:trPr>
              <w:tc>
                <w:tcPr>
                  <w:tcW w:w="2931" w:type="dxa"/>
                  <w:tcBorders>
                    <w:top w:val="nil"/>
                    <w:left w:val="nil"/>
                    <w:bottom w:val="single" w:sz="4" w:space="0" w:color="660066"/>
                    <w:right w:val="nil"/>
                  </w:tcBorders>
                  <w:vAlign w:val="center"/>
                  <w:hideMark/>
                </w:tcPr>
                <w:p w:rsidR="00991195" w:rsidRPr="00991195" w:rsidRDefault="00991195" w:rsidP="00991195">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991195">
                    <w:rPr>
                      <w:rFonts w:ascii="Arial" w:eastAsia="Times New Roman" w:hAnsi="Arial" w:cs="Arial"/>
                      <w:sz w:val="16"/>
                      <w:szCs w:val="16"/>
                      <w:lang w:eastAsia="tr-TR"/>
                    </w:rPr>
                    <w:t>23 Haziran 2016 PERŞEMBE</w:t>
                  </w:r>
                </w:p>
              </w:tc>
              <w:tc>
                <w:tcPr>
                  <w:tcW w:w="2931" w:type="dxa"/>
                  <w:tcBorders>
                    <w:top w:val="nil"/>
                    <w:left w:val="nil"/>
                    <w:bottom w:val="single" w:sz="4" w:space="0" w:color="660066"/>
                    <w:right w:val="nil"/>
                  </w:tcBorders>
                  <w:vAlign w:val="center"/>
                  <w:hideMark/>
                </w:tcPr>
                <w:p w:rsidR="00991195" w:rsidRPr="00991195" w:rsidRDefault="00991195" w:rsidP="00991195">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99119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91195" w:rsidRPr="00991195" w:rsidRDefault="00991195" w:rsidP="00991195">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991195">
                    <w:rPr>
                      <w:rFonts w:ascii="Arial" w:eastAsia="Times New Roman" w:hAnsi="Arial" w:cs="Arial"/>
                      <w:sz w:val="16"/>
                      <w:szCs w:val="16"/>
                      <w:lang w:eastAsia="tr-TR"/>
                    </w:rPr>
                    <w:t>Sayı : 29751</w:t>
                  </w:r>
                  <w:proofErr w:type="gramEnd"/>
                </w:p>
              </w:tc>
            </w:tr>
            <w:tr w:rsidR="00991195" w:rsidRPr="00991195">
              <w:trPr>
                <w:trHeight w:val="480"/>
                <w:jc w:val="center"/>
              </w:trPr>
              <w:tc>
                <w:tcPr>
                  <w:tcW w:w="8789" w:type="dxa"/>
                  <w:gridSpan w:val="3"/>
                  <w:vAlign w:val="center"/>
                  <w:hideMark/>
                </w:tcPr>
                <w:p w:rsidR="00991195" w:rsidRPr="00991195" w:rsidRDefault="00991195" w:rsidP="00991195">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991195">
                    <w:rPr>
                      <w:rFonts w:ascii="Arial" w:eastAsia="Times New Roman" w:hAnsi="Arial" w:cs="Arial"/>
                      <w:b/>
                      <w:color w:val="000080"/>
                      <w:sz w:val="18"/>
                      <w:szCs w:val="18"/>
                      <w:lang w:eastAsia="tr-TR"/>
                    </w:rPr>
                    <w:t>TEBLİĞ</w:t>
                  </w:r>
                </w:p>
              </w:tc>
            </w:tr>
            <w:tr w:rsidR="00991195" w:rsidRPr="00991195">
              <w:trPr>
                <w:trHeight w:val="480"/>
                <w:jc w:val="center"/>
              </w:trPr>
              <w:tc>
                <w:tcPr>
                  <w:tcW w:w="8789" w:type="dxa"/>
                  <w:gridSpan w:val="3"/>
                  <w:vAlign w:val="center"/>
                </w:tcPr>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991195">
                    <w:rPr>
                      <w:rFonts w:ascii="Times New Roman" w:eastAsia="Times New Roman" w:hAnsi="Times New Roman" w:cs="Times New Roman"/>
                      <w:sz w:val="18"/>
                      <w:szCs w:val="18"/>
                      <w:u w:val="single"/>
                      <w:lang w:eastAsia="tr-TR"/>
                    </w:rPr>
                    <w:t>Sermaye Piyasası Kurulundan:</w:t>
                  </w:r>
                </w:p>
                <w:p w:rsidR="00991195" w:rsidRPr="00991195" w:rsidRDefault="00991195" w:rsidP="00991195">
                  <w:pPr>
                    <w:tabs>
                      <w:tab w:val="left" w:pos="566"/>
                    </w:tabs>
                    <w:spacing w:line="240" w:lineRule="exact"/>
                    <w:ind w:right="0"/>
                    <w:jc w:val="center"/>
                    <w:rPr>
                      <w:rFonts w:ascii="Times New Roman" w:eastAsia="Times New Roman" w:hAnsi="Times New Roman" w:cs="Times New Roman"/>
                      <w:b/>
                      <w:sz w:val="18"/>
                      <w:szCs w:val="18"/>
                      <w:lang w:eastAsia="tr-TR"/>
                    </w:rPr>
                  </w:pPr>
                  <w:r w:rsidRPr="00991195">
                    <w:rPr>
                      <w:rFonts w:ascii="Times New Roman" w:eastAsia="Times New Roman" w:hAnsi="Times New Roman" w:cs="Times New Roman"/>
                      <w:b/>
                      <w:sz w:val="18"/>
                      <w:szCs w:val="18"/>
                      <w:lang w:eastAsia="tr-TR"/>
                    </w:rPr>
                    <w:t>YATIRIM FONLARINA İLİŞKİN ESASLAR TEBLİĞİ (III-</w:t>
                  </w:r>
                  <w:proofErr w:type="gramStart"/>
                  <w:r w:rsidRPr="00991195">
                    <w:rPr>
                      <w:rFonts w:ascii="Times New Roman" w:eastAsia="Times New Roman" w:hAnsi="Times New Roman" w:cs="Times New Roman"/>
                      <w:b/>
                      <w:sz w:val="18"/>
                      <w:szCs w:val="18"/>
                      <w:lang w:eastAsia="tr-TR"/>
                    </w:rPr>
                    <w:t>52.1</w:t>
                  </w:r>
                  <w:proofErr w:type="gramEnd"/>
                  <w:r w:rsidRPr="00991195">
                    <w:rPr>
                      <w:rFonts w:ascii="Times New Roman" w:eastAsia="Times New Roman" w:hAnsi="Times New Roman" w:cs="Times New Roman"/>
                      <w:b/>
                      <w:sz w:val="18"/>
                      <w:szCs w:val="18"/>
                      <w:lang w:eastAsia="tr-TR"/>
                    </w:rPr>
                    <w:t>)’NDE</w:t>
                  </w:r>
                </w:p>
                <w:p w:rsidR="00991195" w:rsidRPr="00991195" w:rsidRDefault="00991195" w:rsidP="00991195">
                  <w:pPr>
                    <w:tabs>
                      <w:tab w:val="left" w:pos="566"/>
                    </w:tabs>
                    <w:spacing w:line="240" w:lineRule="exact"/>
                    <w:ind w:right="0"/>
                    <w:jc w:val="center"/>
                    <w:rPr>
                      <w:rFonts w:ascii="Times New Roman" w:eastAsia="Times New Roman" w:hAnsi="Times New Roman" w:cs="Times New Roman"/>
                      <w:b/>
                      <w:sz w:val="18"/>
                      <w:szCs w:val="18"/>
                      <w:lang w:eastAsia="tr-TR"/>
                    </w:rPr>
                  </w:pPr>
                  <w:r w:rsidRPr="00991195">
                    <w:rPr>
                      <w:rFonts w:ascii="Times New Roman" w:eastAsia="Times New Roman" w:hAnsi="Times New Roman" w:cs="Times New Roman"/>
                      <w:b/>
                      <w:sz w:val="18"/>
                      <w:szCs w:val="18"/>
                      <w:lang w:eastAsia="tr-TR"/>
                    </w:rPr>
                    <w:t>DEĞİŞİKLİK YAPILMASINA DAİR TEBLİĞ</w:t>
                  </w:r>
                </w:p>
                <w:p w:rsidR="00991195" w:rsidRPr="00991195" w:rsidRDefault="00991195" w:rsidP="00991195">
                  <w:pPr>
                    <w:tabs>
                      <w:tab w:val="left" w:pos="566"/>
                    </w:tabs>
                    <w:spacing w:line="240" w:lineRule="exact"/>
                    <w:ind w:right="0"/>
                    <w:jc w:val="center"/>
                    <w:rPr>
                      <w:rFonts w:ascii="Times New Roman" w:eastAsia="Times New Roman" w:hAnsi="Times New Roman" w:cs="Times New Roman"/>
                      <w:b/>
                      <w:sz w:val="18"/>
                      <w:szCs w:val="18"/>
                      <w:lang w:eastAsia="tr-TR"/>
                    </w:rPr>
                  </w:pPr>
                  <w:r w:rsidRPr="00991195">
                    <w:rPr>
                      <w:rFonts w:ascii="Times New Roman" w:eastAsia="Times New Roman" w:hAnsi="Times New Roman" w:cs="Times New Roman"/>
                      <w:b/>
                      <w:sz w:val="18"/>
                      <w:szCs w:val="18"/>
                      <w:lang w:eastAsia="tr-TR"/>
                    </w:rPr>
                    <w:t>(III-</w:t>
                  </w:r>
                  <w:proofErr w:type="gramStart"/>
                  <w:r w:rsidRPr="00991195">
                    <w:rPr>
                      <w:rFonts w:ascii="Times New Roman" w:eastAsia="Times New Roman" w:hAnsi="Times New Roman" w:cs="Times New Roman"/>
                      <w:b/>
                      <w:sz w:val="18"/>
                      <w:szCs w:val="18"/>
                      <w:lang w:eastAsia="tr-TR"/>
                    </w:rPr>
                    <w:t>52.1</w:t>
                  </w:r>
                  <w:proofErr w:type="gramEnd"/>
                  <w:r w:rsidRPr="00991195">
                    <w:rPr>
                      <w:rFonts w:ascii="Times New Roman" w:eastAsia="Times New Roman" w:hAnsi="Times New Roman" w:cs="Times New Roman"/>
                      <w:b/>
                      <w:sz w:val="18"/>
                      <w:szCs w:val="18"/>
                      <w:lang w:eastAsia="tr-TR"/>
                    </w:rPr>
                    <w:t>.a)</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b/>
                      <w:sz w:val="18"/>
                      <w:szCs w:val="18"/>
                      <w:lang w:eastAsia="tr-TR"/>
                    </w:rPr>
                    <w:t>MADDE 1 –</w:t>
                  </w:r>
                  <w:r w:rsidRPr="00991195">
                    <w:rPr>
                      <w:rFonts w:ascii="Times New Roman" w:eastAsia="Times New Roman" w:hAnsi="Times New Roman" w:cs="Times New Roman"/>
                      <w:sz w:val="18"/>
                      <w:szCs w:val="18"/>
                      <w:lang w:eastAsia="tr-TR"/>
                    </w:rPr>
                    <w:t xml:space="preserve"> </w:t>
                  </w:r>
                  <w:proofErr w:type="gramStart"/>
                  <w:r w:rsidRPr="00991195">
                    <w:rPr>
                      <w:rFonts w:ascii="Times New Roman" w:eastAsia="Times New Roman" w:hAnsi="Times New Roman" w:cs="Times New Roman"/>
                      <w:sz w:val="18"/>
                      <w:szCs w:val="18"/>
                      <w:lang w:eastAsia="tr-TR"/>
                    </w:rPr>
                    <w:t>9/7/2013</w:t>
                  </w:r>
                  <w:proofErr w:type="gramEnd"/>
                  <w:r w:rsidRPr="00991195">
                    <w:rPr>
                      <w:rFonts w:ascii="Times New Roman" w:eastAsia="Times New Roman" w:hAnsi="Times New Roman" w:cs="Times New Roman"/>
                      <w:sz w:val="18"/>
                      <w:szCs w:val="18"/>
                      <w:lang w:eastAsia="tr-TR"/>
                    </w:rPr>
                    <w:t xml:space="preserve"> tarihli ve 28702 sayılı Resmî </w:t>
                  </w:r>
                  <w:proofErr w:type="spellStart"/>
                  <w:r w:rsidRPr="00991195">
                    <w:rPr>
                      <w:rFonts w:ascii="Times New Roman" w:eastAsia="Times New Roman" w:hAnsi="Times New Roman" w:cs="Times New Roman"/>
                      <w:sz w:val="18"/>
                      <w:szCs w:val="18"/>
                      <w:lang w:eastAsia="tr-TR"/>
                    </w:rPr>
                    <w:t>Gazete’de</w:t>
                  </w:r>
                  <w:proofErr w:type="spellEnd"/>
                  <w:r w:rsidRPr="00991195">
                    <w:rPr>
                      <w:rFonts w:ascii="Times New Roman" w:eastAsia="Times New Roman" w:hAnsi="Times New Roman" w:cs="Times New Roman"/>
                      <w:sz w:val="18"/>
                      <w:szCs w:val="18"/>
                      <w:lang w:eastAsia="tr-TR"/>
                    </w:rPr>
                    <w:t xml:space="preserve"> yayımlanan III-52.1 sayılı Yatırım Fonlarına İlişkin Esaslar Tebliğinin 3 üncü maddesinin birinci fıkrasının (a) bendi aşağıdaki şekilde değiştirilmiştir.</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sz w:val="18"/>
                      <w:szCs w:val="18"/>
                      <w:lang w:eastAsia="tr-TR"/>
                    </w:rPr>
                    <w:t xml:space="preserve">“a) Banka: </w:t>
                  </w:r>
                  <w:proofErr w:type="gramStart"/>
                  <w:r w:rsidRPr="00991195">
                    <w:rPr>
                      <w:rFonts w:ascii="Times New Roman" w:eastAsia="Times New Roman" w:hAnsi="Times New Roman" w:cs="Times New Roman"/>
                      <w:sz w:val="18"/>
                      <w:szCs w:val="18"/>
                      <w:lang w:eastAsia="tr-TR"/>
                    </w:rPr>
                    <w:t>19/10/2005</w:t>
                  </w:r>
                  <w:proofErr w:type="gramEnd"/>
                  <w:r w:rsidRPr="00991195">
                    <w:rPr>
                      <w:rFonts w:ascii="Times New Roman" w:eastAsia="Times New Roman" w:hAnsi="Times New Roman" w:cs="Times New Roman"/>
                      <w:sz w:val="18"/>
                      <w:szCs w:val="18"/>
                      <w:lang w:eastAsia="tr-TR"/>
                    </w:rPr>
                    <w:t xml:space="preserve"> tarihli ve 5411 sayılı Bankacılık Kanununun 3 üncü maddesinde tanımlanan bankalar ve yurtdışı bankaları”</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b/>
                      <w:sz w:val="18"/>
                      <w:szCs w:val="18"/>
                      <w:lang w:eastAsia="tr-TR"/>
                    </w:rPr>
                    <w:t>MADDE 2 –</w:t>
                  </w:r>
                  <w:r w:rsidRPr="00991195">
                    <w:rPr>
                      <w:rFonts w:ascii="Times New Roman" w:eastAsia="Times New Roman" w:hAnsi="Times New Roman" w:cs="Times New Roman"/>
                      <w:sz w:val="18"/>
                      <w:szCs w:val="18"/>
                      <w:lang w:eastAsia="tr-TR"/>
                    </w:rPr>
                    <w:t xml:space="preserve"> Aynı Tebliğin 4 üncü maddesinin ikinci fıkrasının (h) bendi aşağıdaki şekilde değiştirilmiştir.</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sz w:val="18"/>
                      <w:szCs w:val="18"/>
                      <w:lang w:eastAsia="tr-TR"/>
                    </w:rPr>
                    <w:t xml:space="preserve">“h) </w:t>
                  </w:r>
                  <w:proofErr w:type="spellStart"/>
                  <w:r w:rsidRPr="00991195">
                    <w:rPr>
                      <w:rFonts w:ascii="Times New Roman" w:eastAsia="Times New Roman" w:hAnsi="Times New Roman" w:cs="Times New Roman"/>
                      <w:sz w:val="18"/>
                      <w:szCs w:val="18"/>
                      <w:lang w:eastAsia="tr-TR"/>
                    </w:rPr>
                    <w:t>Takasbank</w:t>
                  </w:r>
                  <w:proofErr w:type="spellEnd"/>
                  <w:r w:rsidRPr="00991195">
                    <w:rPr>
                      <w:rFonts w:ascii="Times New Roman" w:eastAsia="Times New Roman" w:hAnsi="Times New Roman" w:cs="Times New Roman"/>
                      <w:sz w:val="18"/>
                      <w:szCs w:val="18"/>
                      <w:lang w:eastAsia="tr-TR"/>
                    </w:rPr>
                    <w:t xml:space="preserve"> para piyasası ve yurtiçi organize para piyasası işlemleri,”</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b/>
                      <w:sz w:val="18"/>
                      <w:szCs w:val="18"/>
                      <w:lang w:eastAsia="tr-TR"/>
                    </w:rPr>
                    <w:t>MADDE 3 –</w:t>
                  </w:r>
                  <w:r w:rsidRPr="00991195">
                    <w:rPr>
                      <w:rFonts w:ascii="Times New Roman" w:eastAsia="Times New Roman" w:hAnsi="Times New Roman" w:cs="Times New Roman"/>
                      <w:sz w:val="18"/>
                      <w:szCs w:val="18"/>
                      <w:lang w:eastAsia="tr-TR"/>
                    </w:rPr>
                    <w:t xml:space="preserve"> Aynı Tebliğin 6 </w:t>
                  </w:r>
                  <w:proofErr w:type="spellStart"/>
                  <w:r w:rsidRPr="00991195">
                    <w:rPr>
                      <w:rFonts w:ascii="Times New Roman" w:eastAsia="Times New Roman" w:hAnsi="Times New Roman" w:cs="Times New Roman"/>
                      <w:sz w:val="18"/>
                      <w:szCs w:val="18"/>
                      <w:lang w:eastAsia="tr-TR"/>
                    </w:rPr>
                    <w:t>ncı</w:t>
                  </w:r>
                  <w:proofErr w:type="spellEnd"/>
                  <w:r w:rsidRPr="00991195">
                    <w:rPr>
                      <w:rFonts w:ascii="Times New Roman" w:eastAsia="Times New Roman" w:hAnsi="Times New Roman" w:cs="Times New Roman"/>
                      <w:sz w:val="18"/>
                      <w:szCs w:val="18"/>
                      <w:lang w:eastAsia="tr-TR"/>
                    </w:rPr>
                    <w:t xml:space="preserve"> maddesinin birinci fıkrasının (a) bendinin (3) </w:t>
                  </w:r>
                  <w:proofErr w:type="spellStart"/>
                  <w:r w:rsidRPr="00991195">
                    <w:rPr>
                      <w:rFonts w:ascii="Times New Roman" w:eastAsia="Times New Roman" w:hAnsi="Times New Roman" w:cs="Times New Roman"/>
                      <w:sz w:val="18"/>
                      <w:szCs w:val="18"/>
                      <w:lang w:eastAsia="tr-TR"/>
                    </w:rPr>
                    <w:t>nolu</w:t>
                  </w:r>
                  <w:proofErr w:type="spellEnd"/>
                  <w:r w:rsidRPr="00991195">
                    <w:rPr>
                      <w:rFonts w:ascii="Times New Roman" w:eastAsia="Times New Roman" w:hAnsi="Times New Roman" w:cs="Times New Roman"/>
                      <w:sz w:val="18"/>
                      <w:szCs w:val="18"/>
                      <w:lang w:eastAsia="tr-TR"/>
                    </w:rPr>
                    <w:t xml:space="preserve"> alt bendi ve ikinci fıkrası aşağıdaki şekilde değiştirilmiştir.</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sz w:val="18"/>
                      <w:szCs w:val="18"/>
                      <w:lang w:eastAsia="tr-TR"/>
                    </w:rPr>
                    <w:t>“3) Borsada işlem gören altın ve diğer kıymetli madenler ile kıymetli madenlere dayalı para ve sermaye piyasası araçlarına yatırılan fonları kapsayan şemsiye fonlar "KIYMETLİ MADENLER ŞEMSİYE FONU",”</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sz w:val="18"/>
                      <w:szCs w:val="18"/>
                      <w:lang w:eastAsia="tr-TR"/>
                    </w:rPr>
                    <w:t xml:space="preserve">“(2) Fon </w:t>
                  </w:r>
                  <w:proofErr w:type="gramStart"/>
                  <w:r w:rsidRPr="00991195">
                    <w:rPr>
                      <w:rFonts w:ascii="Times New Roman" w:eastAsia="Times New Roman" w:hAnsi="Times New Roman" w:cs="Times New Roman"/>
                      <w:sz w:val="18"/>
                      <w:szCs w:val="18"/>
                      <w:lang w:eastAsia="tr-TR"/>
                    </w:rPr>
                    <w:t>portföy</w:t>
                  </w:r>
                  <w:proofErr w:type="gramEnd"/>
                  <w:r w:rsidRPr="00991195">
                    <w:rPr>
                      <w:rFonts w:ascii="Times New Roman" w:eastAsia="Times New Roman" w:hAnsi="Times New Roman" w:cs="Times New Roman"/>
                      <w:sz w:val="18"/>
                      <w:szCs w:val="18"/>
                      <w:lang w:eastAsia="tr-TR"/>
                    </w:rPr>
                    <w:t xml:space="preserve"> değerinin en az %80’i devamlı olarak menkul kıymet yatırım ortaklıkları payları hariç olmak üzere </w:t>
                  </w:r>
                  <w:proofErr w:type="spellStart"/>
                  <w:r w:rsidRPr="00991195">
                    <w:rPr>
                      <w:rFonts w:ascii="Times New Roman" w:eastAsia="Times New Roman" w:hAnsi="Times New Roman" w:cs="Times New Roman"/>
                      <w:sz w:val="18"/>
                      <w:szCs w:val="18"/>
                      <w:lang w:eastAsia="tr-TR"/>
                    </w:rPr>
                    <w:t>BİAŞ’ta</w:t>
                  </w:r>
                  <w:proofErr w:type="spellEnd"/>
                  <w:r w:rsidRPr="00991195">
                    <w:rPr>
                      <w:rFonts w:ascii="Times New Roman" w:eastAsia="Times New Roman" w:hAnsi="Times New Roman" w:cs="Times New Roman"/>
                      <w:sz w:val="18"/>
                      <w:szCs w:val="18"/>
                      <w:lang w:eastAsia="tr-TR"/>
                    </w:rPr>
                    <w:t xml:space="preserve"> işlem gören ihraççı paylarından oluşan ve bu maddenin birinci fıkrasının (a) bendinin (2) numaralı alt bendinde belirtilen şemsiye fona bağlı olarak ihraç edilen fonlar "Hisse Senedi Yoğun Fon" olarak kabul edilir. Hisse senedi yoğun fonların portföylerinde yer alan ihraççı paylarına ve pay endekslerine dayalı olarak yapılan vadeli işlem sözleşmelerinin nakit teminatları, ihraççı paylarına ve pay endekslerine dayalı </w:t>
                  </w:r>
                  <w:proofErr w:type="gramStart"/>
                  <w:r w:rsidRPr="00991195">
                    <w:rPr>
                      <w:rFonts w:ascii="Times New Roman" w:eastAsia="Times New Roman" w:hAnsi="Times New Roman" w:cs="Times New Roman"/>
                      <w:sz w:val="18"/>
                      <w:szCs w:val="18"/>
                      <w:lang w:eastAsia="tr-TR"/>
                    </w:rPr>
                    <w:t>opsiyon</w:t>
                  </w:r>
                  <w:proofErr w:type="gramEnd"/>
                  <w:r w:rsidRPr="00991195">
                    <w:rPr>
                      <w:rFonts w:ascii="Times New Roman" w:eastAsia="Times New Roman" w:hAnsi="Times New Roman" w:cs="Times New Roman"/>
                      <w:sz w:val="18"/>
                      <w:szCs w:val="18"/>
                      <w:lang w:eastAsia="tr-TR"/>
                    </w:rPr>
                    <w:t xml:space="preserve"> sözleşmelerinin primleri ile borsada işlem gören ihraççı paylarına ve pay endekslerine dayalı aracı kuruluş </w:t>
                  </w:r>
                  <w:proofErr w:type="spellStart"/>
                  <w:r w:rsidRPr="00991195">
                    <w:rPr>
                      <w:rFonts w:ascii="Times New Roman" w:eastAsia="Times New Roman" w:hAnsi="Times New Roman" w:cs="Times New Roman"/>
                      <w:sz w:val="18"/>
                      <w:szCs w:val="18"/>
                      <w:lang w:eastAsia="tr-TR"/>
                    </w:rPr>
                    <w:t>varantları</w:t>
                  </w:r>
                  <w:proofErr w:type="spellEnd"/>
                  <w:r w:rsidRPr="00991195">
                    <w:rPr>
                      <w:rFonts w:ascii="Times New Roman" w:eastAsia="Times New Roman" w:hAnsi="Times New Roman" w:cs="Times New Roman"/>
                      <w:sz w:val="18"/>
                      <w:szCs w:val="18"/>
                      <w:lang w:eastAsia="tr-TR"/>
                    </w:rPr>
                    <w:t xml:space="preserve"> %80’lik oranın hesaplanmasına dahil edilir. Bu Tebliğin 24 üncü maddesinin beşinci fıkrası hükümleri saklı kalmak kaydıyla, bir fonun, hisse senedi yoğun fon olarak sınıflandırılabilmesi için günlük olarak gerekli olan şartları sağlamaması halinde, sağlanmayan günlere ilişkin, fonun, yatırımcıların ve/veya yatırım fonu katılma payı alım satımını yapan kuruluşların tabi olacağı tüm yükümlülüklerin yerine getirilmesinden de kurucu ve </w:t>
                  </w:r>
                  <w:proofErr w:type="gramStart"/>
                  <w:r w:rsidRPr="00991195">
                    <w:rPr>
                      <w:rFonts w:ascii="Times New Roman" w:eastAsia="Times New Roman" w:hAnsi="Times New Roman" w:cs="Times New Roman"/>
                      <w:sz w:val="18"/>
                      <w:szCs w:val="18"/>
                      <w:lang w:eastAsia="tr-TR"/>
                    </w:rPr>
                    <w:t>portföy</w:t>
                  </w:r>
                  <w:proofErr w:type="gramEnd"/>
                  <w:r w:rsidRPr="00991195">
                    <w:rPr>
                      <w:rFonts w:ascii="Times New Roman" w:eastAsia="Times New Roman" w:hAnsi="Times New Roman" w:cs="Times New Roman"/>
                      <w:sz w:val="18"/>
                      <w:szCs w:val="18"/>
                      <w:lang w:eastAsia="tr-TR"/>
                    </w:rPr>
                    <w:t xml:space="preserve"> saklayıcısı </w:t>
                  </w:r>
                  <w:proofErr w:type="spellStart"/>
                  <w:r w:rsidRPr="00991195">
                    <w:rPr>
                      <w:rFonts w:ascii="Times New Roman" w:eastAsia="Times New Roman" w:hAnsi="Times New Roman" w:cs="Times New Roman"/>
                      <w:sz w:val="18"/>
                      <w:szCs w:val="18"/>
                      <w:lang w:eastAsia="tr-TR"/>
                    </w:rPr>
                    <w:t>müteselsilen</w:t>
                  </w:r>
                  <w:proofErr w:type="spellEnd"/>
                  <w:r w:rsidRPr="00991195">
                    <w:rPr>
                      <w:rFonts w:ascii="Times New Roman" w:eastAsia="Times New Roman" w:hAnsi="Times New Roman" w:cs="Times New Roman"/>
                      <w:sz w:val="18"/>
                      <w:szCs w:val="18"/>
                      <w:lang w:eastAsia="tr-TR"/>
                    </w:rPr>
                    <w:t xml:space="preserve"> sorumludur.”</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b/>
                      <w:sz w:val="18"/>
                      <w:szCs w:val="18"/>
                      <w:lang w:eastAsia="tr-TR"/>
                    </w:rPr>
                    <w:t xml:space="preserve">MADDE 4 – </w:t>
                  </w:r>
                  <w:r w:rsidRPr="00991195">
                    <w:rPr>
                      <w:rFonts w:ascii="Times New Roman" w:eastAsia="Times New Roman" w:hAnsi="Times New Roman" w:cs="Times New Roman"/>
                      <w:sz w:val="18"/>
                      <w:szCs w:val="18"/>
                      <w:lang w:eastAsia="tr-TR"/>
                    </w:rPr>
                    <w:t>Aynı Tebliğin 15 inci maddesinin sekizinci fıkrası aşağıdaki şekilde değiştirilmiştir.</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91195">
                    <w:rPr>
                      <w:rFonts w:ascii="Times New Roman" w:eastAsia="Times New Roman" w:hAnsi="Times New Roman" w:cs="Times New Roman"/>
                      <w:sz w:val="18"/>
                      <w:szCs w:val="18"/>
                      <w:lang w:eastAsia="tr-TR"/>
                    </w:rPr>
                    <w:t>“(8) Katılma payı alım satımı, fon toplam değerinin en az %80’i oranında yabancı para ve sermaye piyasası araçlarına yatırım yapan fonlar ile unvanında “(Döviz)” ibaresi yer alan fonlarda, TCMB ve Hazine Müsteşarlığının görüşü alınarak, Kurulun onayı alınmak kaydıyla, TCMB tarafından günlük alım satım kurları ilan edilen yabancı para birimleri üzerinden gerçekleştirilebilir.”</w:t>
                  </w:r>
                  <w:proofErr w:type="gramEnd"/>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b/>
                      <w:sz w:val="18"/>
                      <w:szCs w:val="18"/>
                      <w:lang w:eastAsia="tr-TR"/>
                    </w:rPr>
                    <w:t>MADDE 5 –</w:t>
                  </w:r>
                  <w:r w:rsidRPr="00991195">
                    <w:rPr>
                      <w:rFonts w:ascii="Times New Roman" w:eastAsia="Times New Roman" w:hAnsi="Times New Roman" w:cs="Times New Roman"/>
                      <w:sz w:val="18"/>
                      <w:szCs w:val="18"/>
                      <w:lang w:eastAsia="tr-TR"/>
                    </w:rPr>
                    <w:t xml:space="preserve"> Aynı Tebliğin 17 </w:t>
                  </w:r>
                  <w:proofErr w:type="spellStart"/>
                  <w:r w:rsidRPr="00991195">
                    <w:rPr>
                      <w:rFonts w:ascii="Times New Roman" w:eastAsia="Times New Roman" w:hAnsi="Times New Roman" w:cs="Times New Roman"/>
                      <w:sz w:val="18"/>
                      <w:szCs w:val="18"/>
                      <w:lang w:eastAsia="tr-TR"/>
                    </w:rPr>
                    <w:t>nci</w:t>
                  </w:r>
                  <w:proofErr w:type="spellEnd"/>
                  <w:r w:rsidRPr="00991195">
                    <w:rPr>
                      <w:rFonts w:ascii="Times New Roman" w:eastAsia="Times New Roman" w:hAnsi="Times New Roman" w:cs="Times New Roman"/>
                      <w:sz w:val="18"/>
                      <w:szCs w:val="18"/>
                      <w:lang w:eastAsia="tr-TR"/>
                    </w:rPr>
                    <w:t xml:space="preserve"> maddesinin birinci fıkrasının (e) bendi aşağıdaki şekilde değiştirilmiştir.</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sz w:val="18"/>
                      <w:szCs w:val="18"/>
                      <w:lang w:eastAsia="tr-TR"/>
                    </w:rPr>
                    <w:t xml:space="preserve">“e) Varlık kiralama şirketleri tarafından ihraç edilen sermaye piyasası araçları için, ihraççı olarak fon kullanıcıları dikkate alınarak, bu fıkranın; (a) bendinde yer alan %10’luk sınırlama %25 olarak uygulanır, (b) bendinde yer alan sınırlama uygulanmaz, (c) bendinde yer alan %20’lik sınırlama ise %35 olarak uygulanır. Diğer taraftan, </w:t>
                  </w:r>
                  <w:proofErr w:type="gramStart"/>
                  <w:r w:rsidRPr="00991195">
                    <w:rPr>
                      <w:rFonts w:ascii="Times New Roman" w:eastAsia="Times New Roman" w:hAnsi="Times New Roman" w:cs="Times New Roman"/>
                      <w:sz w:val="18"/>
                      <w:szCs w:val="18"/>
                      <w:lang w:eastAsia="tr-TR"/>
                    </w:rPr>
                    <w:t>28/3/2002</w:t>
                  </w:r>
                  <w:proofErr w:type="gramEnd"/>
                  <w:r w:rsidRPr="00991195">
                    <w:rPr>
                      <w:rFonts w:ascii="Times New Roman" w:eastAsia="Times New Roman" w:hAnsi="Times New Roman" w:cs="Times New Roman"/>
                      <w:sz w:val="18"/>
                      <w:szCs w:val="18"/>
                      <w:lang w:eastAsia="tr-TR"/>
                    </w:rPr>
                    <w:t xml:space="preserve"> tarihli ve 4749 sayılı Kamu Finansmanı ve Borç Yönetiminin Düzenlenmesi Hakkında Kanun çerçevesinde kurulan varlık kiralama şirketleri tarafından ihraç edilen sermaye piyasası araçları için bu fıkradaki sınırlamalar uygulanmaz.”</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b/>
                      <w:sz w:val="18"/>
                      <w:szCs w:val="18"/>
                      <w:lang w:eastAsia="tr-TR"/>
                    </w:rPr>
                    <w:t>MADDE 6 –</w:t>
                  </w:r>
                  <w:r w:rsidRPr="00991195">
                    <w:rPr>
                      <w:rFonts w:ascii="Times New Roman" w:eastAsia="Times New Roman" w:hAnsi="Times New Roman" w:cs="Times New Roman"/>
                      <w:sz w:val="18"/>
                      <w:szCs w:val="18"/>
                      <w:lang w:eastAsia="tr-TR"/>
                    </w:rPr>
                    <w:t xml:space="preserve"> Aynı Tebliğin 19 uncu maddesinin ikinci fıkrası aşağıdaki şekilde değiştirilmiştir.</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sz w:val="18"/>
                      <w:szCs w:val="18"/>
                      <w:lang w:eastAsia="tr-TR"/>
                    </w:rPr>
                    <w:t xml:space="preserve">“(2) Kamu ve özel sektör dış borçlanma araçlarının, borsa dışında yapılacak işlemler ile fon portföyüne </w:t>
                  </w:r>
                  <w:proofErr w:type="gramStart"/>
                  <w:r w:rsidRPr="00991195">
                    <w:rPr>
                      <w:rFonts w:ascii="Times New Roman" w:eastAsia="Times New Roman" w:hAnsi="Times New Roman" w:cs="Times New Roman"/>
                      <w:sz w:val="18"/>
                      <w:szCs w:val="18"/>
                      <w:lang w:eastAsia="tr-TR"/>
                    </w:rPr>
                    <w:t>dahil</w:t>
                  </w:r>
                  <w:proofErr w:type="gramEnd"/>
                  <w:r w:rsidRPr="00991195">
                    <w:rPr>
                      <w:rFonts w:ascii="Times New Roman" w:eastAsia="Times New Roman" w:hAnsi="Times New Roman" w:cs="Times New Roman"/>
                      <w:sz w:val="18"/>
                      <w:szCs w:val="18"/>
                      <w:lang w:eastAsia="tr-TR"/>
                    </w:rPr>
                    <w:t xml:space="preserve"> edilmesi veya fon portföyünden çıkarılması mümkündür.”</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b/>
                      <w:sz w:val="18"/>
                      <w:szCs w:val="18"/>
                      <w:lang w:eastAsia="tr-TR"/>
                    </w:rPr>
                    <w:t>MADDE 7 –</w:t>
                  </w:r>
                  <w:r w:rsidRPr="00991195">
                    <w:rPr>
                      <w:rFonts w:ascii="Times New Roman" w:eastAsia="Times New Roman" w:hAnsi="Times New Roman" w:cs="Times New Roman"/>
                      <w:sz w:val="18"/>
                      <w:szCs w:val="18"/>
                      <w:lang w:eastAsia="tr-TR"/>
                    </w:rPr>
                    <w:t xml:space="preserve"> Aynı Tebliğin 21 inci maddesinin birinci fıkrası aşağıdaki şekilde değiştirilmiştir.</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sz w:val="18"/>
                      <w:szCs w:val="18"/>
                      <w:lang w:eastAsia="tr-TR"/>
                    </w:rPr>
                    <w:t xml:space="preserve">“(1) Fon </w:t>
                  </w:r>
                  <w:proofErr w:type="gramStart"/>
                  <w:r w:rsidRPr="00991195">
                    <w:rPr>
                      <w:rFonts w:ascii="Times New Roman" w:eastAsia="Times New Roman" w:hAnsi="Times New Roman" w:cs="Times New Roman"/>
                      <w:sz w:val="18"/>
                      <w:szCs w:val="18"/>
                      <w:lang w:eastAsia="tr-TR"/>
                    </w:rPr>
                    <w:t>portföylerinde</w:t>
                  </w:r>
                  <w:proofErr w:type="gramEnd"/>
                  <w:r w:rsidRPr="00991195">
                    <w:rPr>
                      <w:rFonts w:ascii="Times New Roman" w:eastAsia="Times New Roman" w:hAnsi="Times New Roman" w:cs="Times New Roman"/>
                      <w:sz w:val="18"/>
                      <w:szCs w:val="18"/>
                      <w:lang w:eastAsia="tr-TR"/>
                    </w:rPr>
                    <w:t xml:space="preserve"> yer alan repo işlemine konu olabilecek varlıkların rayiç değerinin %10’una kadar borsada veya borsa dışında repo yapılabilir, fon toplam değerinin %10’unu geçmemek üzere fon hesabına kredi alınabilir ve/veya borçlanma amacıyla </w:t>
                  </w:r>
                  <w:proofErr w:type="spellStart"/>
                  <w:r w:rsidRPr="00991195">
                    <w:rPr>
                      <w:rFonts w:ascii="Times New Roman" w:eastAsia="Times New Roman" w:hAnsi="Times New Roman" w:cs="Times New Roman"/>
                      <w:sz w:val="18"/>
                      <w:szCs w:val="18"/>
                      <w:lang w:eastAsia="tr-TR"/>
                    </w:rPr>
                    <w:t>Takasbank</w:t>
                  </w:r>
                  <w:proofErr w:type="spellEnd"/>
                  <w:r w:rsidRPr="00991195">
                    <w:rPr>
                      <w:rFonts w:ascii="Times New Roman" w:eastAsia="Times New Roman" w:hAnsi="Times New Roman" w:cs="Times New Roman"/>
                      <w:sz w:val="18"/>
                      <w:szCs w:val="18"/>
                      <w:lang w:eastAsia="tr-TR"/>
                    </w:rPr>
                    <w:t xml:space="preserve"> Para Piyasası ve yurtiçi organize para piyasası işlemleri yapılabilir. Kredi alınması halinde kredinin tutarı, faizi, alındığı tarih ve kredi alınan kuruluş ile geri ödeneceği tarih </w:t>
                  </w:r>
                  <w:proofErr w:type="spellStart"/>
                  <w:r w:rsidRPr="00991195">
                    <w:rPr>
                      <w:rFonts w:ascii="Times New Roman" w:eastAsia="Times New Roman" w:hAnsi="Times New Roman" w:cs="Times New Roman"/>
                      <w:sz w:val="18"/>
                      <w:szCs w:val="18"/>
                      <w:lang w:eastAsia="tr-TR"/>
                    </w:rPr>
                    <w:t>KAP’ta</w:t>
                  </w:r>
                  <w:proofErr w:type="spellEnd"/>
                  <w:r w:rsidRPr="00991195">
                    <w:rPr>
                      <w:rFonts w:ascii="Times New Roman" w:eastAsia="Times New Roman" w:hAnsi="Times New Roman" w:cs="Times New Roman"/>
                      <w:sz w:val="18"/>
                      <w:szCs w:val="18"/>
                      <w:lang w:eastAsia="tr-TR"/>
                    </w:rPr>
                    <w:t xml:space="preserve"> açıklanır ve Kurula bildirilir.”</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b/>
                      <w:sz w:val="18"/>
                      <w:szCs w:val="18"/>
                      <w:lang w:eastAsia="tr-TR"/>
                    </w:rPr>
                    <w:t xml:space="preserve">MADDE 8 – </w:t>
                  </w:r>
                  <w:r w:rsidRPr="00991195">
                    <w:rPr>
                      <w:rFonts w:ascii="Times New Roman" w:eastAsia="Times New Roman" w:hAnsi="Times New Roman" w:cs="Times New Roman"/>
                      <w:sz w:val="18"/>
                      <w:szCs w:val="18"/>
                      <w:lang w:eastAsia="tr-TR"/>
                    </w:rPr>
                    <w:t>Aynı Tebliğin 23 üncü maddesinin beşinci fıkrası aşağıdaki şekilde değiştirilmiştir.</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91195">
                    <w:rPr>
                      <w:rFonts w:ascii="Times New Roman" w:eastAsia="Times New Roman" w:hAnsi="Times New Roman" w:cs="Times New Roman"/>
                      <w:sz w:val="18"/>
                      <w:szCs w:val="18"/>
                      <w:lang w:eastAsia="tr-TR"/>
                    </w:rPr>
                    <w:t>“(5) Fon toplam değerinin en az %80’i oranında yabancı para ve sermaye piyasası araçlarına yatırım yapan fonlar ile unvanında “(Döviz)” ibaresi yer alan fonlar tarafından, nakit ihtiyacının karşılanması amacıyla sözleşmelere konu olabilecek varlıkların ilgili ülkenin merkezi takas ve saklama kuruluşunda saklanması kaydıyla yurt dışında borsa dışı repo sözleşmelerine taraf olunabilir.”</w:t>
                  </w:r>
                  <w:proofErr w:type="gramEnd"/>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b/>
                      <w:sz w:val="18"/>
                      <w:szCs w:val="18"/>
                      <w:lang w:eastAsia="tr-TR"/>
                    </w:rPr>
                    <w:t xml:space="preserve">MADDE 9 – </w:t>
                  </w:r>
                  <w:r w:rsidRPr="00991195">
                    <w:rPr>
                      <w:rFonts w:ascii="Times New Roman" w:eastAsia="Times New Roman" w:hAnsi="Times New Roman" w:cs="Times New Roman"/>
                      <w:sz w:val="18"/>
                      <w:szCs w:val="18"/>
                      <w:lang w:eastAsia="tr-TR"/>
                    </w:rPr>
                    <w:t>Aynı Tebliğin 24 üncü maddesinin üçüncü fıkrası aşağıdaki şekilde değiştirilmiştir.</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sz w:val="18"/>
                      <w:szCs w:val="18"/>
                      <w:lang w:eastAsia="tr-TR"/>
                    </w:rPr>
                    <w:t xml:space="preserve">“(3) Fon toplam değerinin en fazla %20’si </w:t>
                  </w:r>
                  <w:proofErr w:type="spellStart"/>
                  <w:r w:rsidRPr="00991195">
                    <w:rPr>
                      <w:rFonts w:ascii="Times New Roman" w:eastAsia="Times New Roman" w:hAnsi="Times New Roman" w:cs="Times New Roman"/>
                      <w:sz w:val="18"/>
                      <w:szCs w:val="18"/>
                      <w:lang w:eastAsia="tr-TR"/>
                    </w:rPr>
                    <w:t>Takasbank</w:t>
                  </w:r>
                  <w:proofErr w:type="spellEnd"/>
                  <w:r w:rsidRPr="00991195">
                    <w:rPr>
                      <w:rFonts w:ascii="Times New Roman" w:eastAsia="Times New Roman" w:hAnsi="Times New Roman" w:cs="Times New Roman"/>
                      <w:sz w:val="18"/>
                      <w:szCs w:val="18"/>
                      <w:lang w:eastAsia="tr-TR"/>
                    </w:rPr>
                    <w:t xml:space="preserve"> Para Piyasası ve yurtiçi organize para piyasası işlemlerinden oluşur. Para piyasası fonları ve değişken fonlar için bu fıkradaki sınırlama uygulanmaz.”</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b/>
                      <w:sz w:val="18"/>
                      <w:szCs w:val="18"/>
                      <w:lang w:eastAsia="tr-TR"/>
                    </w:rPr>
                    <w:t>MADDE 10 –</w:t>
                  </w:r>
                  <w:r w:rsidRPr="00991195">
                    <w:rPr>
                      <w:rFonts w:ascii="Times New Roman" w:eastAsia="Times New Roman" w:hAnsi="Times New Roman" w:cs="Times New Roman"/>
                      <w:sz w:val="18"/>
                      <w:szCs w:val="18"/>
                      <w:lang w:eastAsia="tr-TR"/>
                    </w:rPr>
                    <w:t xml:space="preserve"> Aynı Tebliğin 25 inci maddesine </w:t>
                  </w:r>
                  <w:proofErr w:type="spellStart"/>
                  <w:r w:rsidRPr="00991195">
                    <w:rPr>
                      <w:rFonts w:ascii="Times New Roman" w:eastAsia="Times New Roman" w:hAnsi="Times New Roman" w:cs="Times New Roman"/>
                      <w:sz w:val="18"/>
                      <w:szCs w:val="18"/>
                      <w:lang w:eastAsia="tr-TR"/>
                    </w:rPr>
                    <w:t>onikinci</w:t>
                  </w:r>
                  <w:proofErr w:type="spellEnd"/>
                  <w:r w:rsidRPr="00991195">
                    <w:rPr>
                      <w:rFonts w:ascii="Times New Roman" w:eastAsia="Times New Roman" w:hAnsi="Times New Roman" w:cs="Times New Roman"/>
                      <w:sz w:val="18"/>
                      <w:szCs w:val="18"/>
                      <w:lang w:eastAsia="tr-TR"/>
                    </w:rPr>
                    <w:t xml:space="preserve"> fıkradan sonra gelmek üzere aşağıdaki fıkra </w:t>
                  </w:r>
                  <w:r w:rsidRPr="00991195">
                    <w:rPr>
                      <w:rFonts w:ascii="Times New Roman" w:eastAsia="Times New Roman" w:hAnsi="Times New Roman" w:cs="Times New Roman"/>
                      <w:sz w:val="18"/>
                      <w:szCs w:val="18"/>
                      <w:lang w:eastAsia="tr-TR"/>
                    </w:rPr>
                    <w:lastRenderedPageBreak/>
                    <w:t>eklenmiştir.</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sz w:val="18"/>
                      <w:szCs w:val="18"/>
                      <w:lang w:eastAsia="tr-TR"/>
                    </w:rPr>
                    <w:t xml:space="preserve">“(13) Unvanında “hisse senedi” ibaresi yer alan serbest fonların, bu Tebliğin 6 </w:t>
                  </w:r>
                  <w:proofErr w:type="spellStart"/>
                  <w:r w:rsidRPr="00991195">
                    <w:rPr>
                      <w:rFonts w:ascii="Times New Roman" w:eastAsia="Times New Roman" w:hAnsi="Times New Roman" w:cs="Times New Roman"/>
                      <w:sz w:val="18"/>
                      <w:szCs w:val="18"/>
                      <w:lang w:eastAsia="tr-TR"/>
                    </w:rPr>
                    <w:t>ncı</w:t>
                  </w:r>
                  <w:proofErr w:type="spellEnd"/>
                  <w:r w:rsidRPr="00991195">
                    <w:rPr>
                      <w:rFonts w:ascii="Times New Roman" w:eastAsia="Times New Roman" w:hAnsi="Times New Roman" w:cs="Times New Roman"/>
                      <w:sz w:val="18"/>
                      <w:szCs w:val="18"/>
                      <w:lang w:eastAsia="tr-TR"/>
                    </w:rPr>
                    <w:t xml:space="preserve"> maddesinin ikinci fıkrasında yer alan hükümler uygulanmak kaydıyla, serbest şemsiye fona bağlı hisse senedi yoğun fon olarak ihraç edilmesi mümkündür.”</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b/>
                      <w:sz w:val="18"/>
                      <w:szCs w:val="18"/>
                      <w:lang w:eastAsia="tr-TR"/>
                    </w:rPr>
                    <w:t xml:space="preserve">MADDE 11 – </w:t>
                  </w:r>
                  <w:r w:rsidRPr="00991195">
                    <w:rPr>
                      <w:rFonts w:ascii="Times New Roman" w:eastAsia="Times New Roman" w:hAnsi="Times New Roman" w:cs="Times New Roman"/>
                      <w:sz w:val="18"/>
                      <w:szCs w:val="18"/>
                      <w:lang w:eastAsia="tr-TR"/>
                    </w:rPr>
                    <w:t>Bu Tebliğ yayımı tarihinde yürürlüğe girer.</w:t>
                  </w:r>
                </w:p>
                <w:p w:rsidR="00991195" w:rsidRPr="00991195" w:rsidRDefault="00991195" w:rsidP="0099119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1195">
                    <w:rPr>
                      <w:rFonts w:ascii="Times New Roman" w:eastAsia="Times New Roman" w:hAnsi="Times New Roman" w:cs="Times New Roman"/>
                      <w:b/>
                      <w:sz w:val="18"/>
                      <w:szCs w:val="18"/>
                      <w:lang w:eastAsia="tr-TR"/>
                    </w:rPr>
                    <w:t xml:space="preserve">MADDE 12 – </w:t>
                  </w:r>
                  <w:r w:rsidRPr="00991195">
                    <w:rPr>
                      <w:rFonts w:ascii="Times New Roman" w:eastAsia="Times New Roman" w:hAnsi="Times New Roman" w:cs="Times New Roman"/>
                      <w:sz w:val="18"/>
                      <w:szCs w:val="18"/>
                      <w:lang w:eastAsia="tr-TR"/>
                    </w:rPr>
                    <w:t>Bu Tebliğ hükümlerini Sermaye Piyasası Kurulu yürütür.</w:t>
                  </w:r>
                </w:p>
                <w:p w:rsidR="00991195" w:rsidRPr="00991195" w:rsidRDefault="00991195" w:rsidP="00991195">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991195" w:rsidRPr="00991195" w:rsidRDefault="00991195" w:rsidP="00991195">
            <w:pPr>
              <w:spacing w:line="240" w:lineRule="auto"/>
              <w:ind w:right="0"/>
              <w:jc w:val="center"/>
              <w:rPr>
                <w:rFonts w:ascii="Times New Roman" w:eastAsia="Times New Roman" w:hAnsi="Times New Roman" w:cs="Times New Roman"/>
                <w:sz w:val="20"/>
                <w:szCs w:val="20"/>
                <w:lang w:eastAsia="tr-TR"/>
              </w:rPr>
            </w:pPr>
          </w:p>
        </w:tc>
      </w:tr>
    </w:tbl>
    <w:p w:rsidR="00991195" w:rsidRPr="00991195" w:rsidRDefault="00991195" w:rsidP="00991195">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D0341"/>
    <w:rsid w:val="0046759C"/>
    <w:rsid w:val="00991195"/>
    <w:rsid w:val="009D0341"/>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6E36C-050D-4A1C-92B6-96846E19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991195"/>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991195"/>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91195"/>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991195"/>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434395">
      <w:bodyDiv w:val="1"/>
      <w:marLeft w:val="0"/>
      <w:marRight w:val="0"/>
      <w:marTop w:val="0"/>
      <w:marBottom w:val="0"/>
      <w:divBdr>
        <w:top w:val="none" w:sz="0" w:space="0" w:color="auto"/>
        <w:left w:val="none" w:sz="0" w:space="0" w:color="auto"/>
        <w:bottom w:val="none" w:sz="0" w:space="0" w:color="auto"/>
        <w:right w:val="none" w:sz="0" w:space="0" w:color="auto"/>
      </w:divBdr>
      <w:divsChild>
        <w:div w:id="818108811">
          <w:marLeft w:val="0"/>
          <w:marRight w:val="0"/>
          <w:marTop w:val="0"/>
          <w:marBottom w:val="0"/>
          <w:divBdr>
            <w:top w:val="none" w:sz="0" w:space="0" w:color="auto"/>
            <w:left w:val="none" w:sz="0" w:space="0" w:color="auto"/>
            <w:bottom w:val="none" w:sz="0" w:space="0" w:color="auto"/>
            <w:right w:val="none" w:sz="0" w:space="0" w:color="auto"/>
          </w:divBdr>
          <w:divsChild>
            <w:div w:id="1210651120">
              <w:marLeft w:val="0"/>
              <w:marRight w:val="0"/>
              <w:marTop w:val="0"/>
              <w:marBottom w:val="0"/>
              <w:divBdr>
                <w:top w:val="none" w:sz="0" w:space="0" w:color="auto"/>
                <w:left w:val="none" w:sz="0" w:space="0" w:color="auto"/>
                <w:bottom w:val="none" w:sz="0" w:space="0" w:color="auto"/>
                <w:right w:val="none" w:sz="0" w:space="0" w:color="auto"/>
              </w:divBdr>
              <w:divsChild>
                <w:div w:id="1741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2</cp:revision>
  <dcterms:created xsi:type="dcterms:W3CDTF">2016-06-23T05:38:00Z</dcterms:created>
  <dcterms:modified xsi:type="dcterms:W3CDTF">2016-06-23T05:38:00Z</dcterms:modified>
</cp:coreProperties>
</file>