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7C3E01" w:rsidRPr="007C3E01" w:rsidTr="007C3E01">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C3E01" w:rsidRPr="007C3E01" w:rsidRDefault="007C3E01" w:rsidP="007C3E01">
            <w:pPr>
              <w:spacing w:after="0" w:line="240" w:lineRule="atLeast"/>
              <w:rPr>
                <w:rFonts w:ascii="Times New Roman" w:eastAsia="Times New Roman" w:hAnsi="Times New Roman" w:cs="Times New Roman"/>
                <w:sz w:val="24"/>
                <w:szCs w:val="24"/>
                <w:lang w:eastAsia="tr-TR"/>
              </w:rPr>
            </w:pPr>
            <w:r w:rsidRPr="007C3E01">
              <w:rPr>
                <w:rFonts w:ascii="Arial" w:eastAsia="Times New Roman" w:hAnsi="Arial" w:cs="Arial"/>
                <w:sz w:val="16"/>
                <w:szCs w:val="16"/>
                <w:lang w:eastAsia="tr-TR"/>
              </w:rPr>
              <w:t>26 Temmuz 2016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C3E01" w:rsidRPr="007C3E01" w:rsidRDefault="007C3E01" w:rsidP="007C3E01">
            <w:pPr>
              <w:spacing w:after="0" w:line="240" w:lineRule="atLeast"/>
              <w:jc w:val="center"/>
              <w:rPr>
                <w:rFonts w:ascii="Times New Roman" w:eastAsia="Times New Roman" w:hAnsi="Times New Roman" w:cs="Times New Roman"/>
                <w:sz w:val="24"/>
                <w:szCs w:val="24"/>
                <w:lang w:eastAsia="tr-TR"/>
              </w:rPr>
            </w:pPr>
            <w:r w:rsidRPr="007C3E01">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C3E01" w:rsidRPr="007C3E01" w:rsidRDefault="007C3E01" w:rsidP="007C3E01">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7C3E01">
              <w:rPr>
                <w:rFonts w:ascii="Arial" w:eastAsia="Times New Roman" w:hAnsi="Arial" w:cs="Arial"/>
                <w:sz w:val="16"/>
                <w:szCs w:val="16"/>
                <w:lang w:eastAsia="tr-TR"/>
              </w:rPr>
              <w:t>Sayı : 29782</w:t>
            </w:r>
          </w:p>
        </w:tc>
      </w:tr>
      <w:tr w:rsidR="007C3E01" w:rsidRPr="007C3E01" w:rsidTr="007C3E01">
        <w:trPr>
          <w:trHeight w:val="480"/>
        </w:trPr>
        <w:tc>
          <w:tcPr>
            <w:tcW w:w="8789" w:type="dxa"/>
            <w:gridSpan w:val="3"/>
            <w:tcMar>
              <w:top w:w="0" w:type="dxa"/>
              <w:left w:w="108" w:type="dxa"/>
              <w:bottom w:w="0" w:type="dxa"/>
              <w:right w:w="108" w:type="dxa"/>
            </w:tcMar>
            <w:vAlign w:val="center"/>
            <w:hideMark/>
          </w:tcPr>
          <w:p w:rsidR="007C3E01" w:rsidRPr="007C3E01" w:rsidRDefault="007C3E01" w:rsidP="007C3E0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C3E01">
              <w:rPr>
                <w:rFonts w:ascii="Arial" w:eastAsia="Times New Roman" w:hAnsi="Arial" w:cs="Arial"/>
                <w:b/>
                <w:bCs/>
                <w:color w:val="000080"/>
                <w:sz w:val="18"/>
                <w:szCs w:val="18"/>
                <w:lang w:eastAsia="tr-TR"/>
              </w:rPr>
              <w:t>YÖNETMELİK</w:t>
            </w:r>
          </w:p>
        </w:tc>
      </w:tr>
      <w:tr w:rsidR="007C3E01" w:rsidRPr="007C3E01" w:rsidTr="007C3E01">
        <w:trPr>
          <w:trHeight w:val="480"/>
        </w:trPr>
        <w:tc>
          <w:tcPr>
            <w:tcW w:w="8789" w:type="dxa"/>
            <w:gridSpan w:val="3"/>
            <w:tcMar>
              <w:top w:w="0" w:type="dxa"/>
              <w:left w:w="108" w:type="dxa"/>
              <w:bottom w:w="0" w:type="dxa"/>
              <w:right w:w="108" w:type="dxa"/>
            </w:tcMar>
            <w:vAlign w:val="center"/>
            <w:hideMark/>
          </w:tcPr>
          <w:p w:rsidR="007C3E01" w:rsidRPr="007C3E01" w:rsidRDefault="007C3E01" w:rsidP="007C3E01">
            <w:pPr>
              <w:spacing w:after="0" w:line="240" w:lineRule="atLeast"/>
              <w:ind w:firstLine="566"/>
              <w:jc w:val="both"/>
              <w:rPr>
                <w:rFonts w:ascii="Times New Roman" w:eastAsia="Times New Roman" w:hAnsi="Times New Roman" w:cs="Times New Roman"/>
                <w:u w:val="single"/>
                <w:lang w:eastAsia="tr-TR"/>
              </w:rPr>
            </w:pPr>
            <w:r w:rsidRPr="007C3E01">
              <w:rPr>
                <w:rFonts w:ascii="Times New Roman" w:eastAsia="Times New Roman" w:hAnsi="Times New Roman" w:cs="Times New Roman"/>
                <w:sz w:val="18"/>
                <w:szCs w:val="18"/>
                <w:u w:val="single"/>
                <w:lang w:eastAsia="tr-TR"/>
              </w:rPr>
              <w:t>Gıda, Tarım ve Hayvancılık Bakanlığından:</w:t>
            </w:r>
          </w:p>
          <w:p w:rsidR="007C3E01" w:rsidRPr="007C3E01" w:rsidRDefault="007C3E01" w:rsidP="007C3E01">
            <w:pPr>
              <w:spacing w:after="0" w:line="240" w:lineRule="atLeast"/>
              <w:jc w:val="center"/>
              <w:rPr>
                <w:rFonts w:ascii="Times New Roman" w:eastAsia="Times New Roman" w:hAnsi="Times New Roman" w:cs="Times New Roman"/>
                <w:b/>
                <w:bCs/>
                <w:sz w:val="19"/>
                <w:szCs w:val="19"/>
                <w:lang w:eastAsia="tr-TR"/>
              </w:rPr>
            </w:pPr>
            <w:r w:rsidRPr="007C3E01">
              <w:rPr>
                <w:rFonts w:ascii="Times New Roman" w:eastAsia="Times New Roman" w:hAnsi="Times New Roman" w:cs="Times New Roman"/>
                <w:b/>
                <w:bCs/>
                <w:sz w:val="18"/>
                <w:szCs w:val="18"/>
                <w:lang w:eastAsia="tr-TR"/>
              </w:rPr>
              <w:t>GIDA İŞLETMELERİNDE YEREL, MARJİNAL VE SINIRLI</w:t>
            </w:r>
          </w:p>
          <w:p w:rsidR="007C3E01" w:rsidRPr="007C3E01" w:rsidRDefault="007C3E01" w:rsidP="007C3E01">
            <w:pPr>
              <w:spacing w:after="0" w:line="240" w:lineRule="atLeast"/>
              <w:jc w:val="center"/>
              <w:rPr>
                <w:rFonts w:ascii="Times New Roman" w:eastAsia="Times New Roman" w:hAnsi="Times New Roman" w:cs="Times New Roman"/>
                <w:b/>
                <w:bCs/>
                <w:sz w:val="19"/>
                <w:szCs w:val="19"/>
                <w:lang w:eastAsia="tr-TR"/>
              </w:rPr>
            </w:pPr>
            <w:r w:rsidRPr="007C3E01">
              <w:rPr>
                <w:rFonts w:ascii="Times New Roman" w:eastAsia="Times New Roman" w:hAnsi="Times New Roman" w:cs="Times New Roman"/>
                <w:b/>
                <w:bCs/>
                <w:sz w:val="18"/>
                <w:szCs w:val="18"/>
                <w:lang w:eastAsia="tr-TR"/>
              </w:rPr>
              <w:t>FAALİYETLERİN DÜZENLENMESİNE</w:t>
            </w:r>
          </w:p>
          <w:p w:rsidR="007C3E01" w:rsidRPr="007C3E01" w:rsidRDefault="007C3E01" w:rsidP="007C3E01">
            <w:pPr>
              <w:spacing w:after="0" w:line="240" w:lineRule="atLeast"/>
              <w:jc w:val="center"/>
              <w:rPr>
                <w:rFonts w:ascii="Times New Roman" w:eastAsia="Times New Roman" w:hAnsi="Times New Roman" w:cs="Times New Roman"/>
                <w:b/>
                <w:bCs/>
                <w:sz w:val="19"/>
                <w:szCs w:val="19"/>
                <w:lang w:eastAsia="tr-TR"/>
              </w:rPr>
            </w:pPr>
            <w:r w:rsidRPr="007C3E01">
              <w:rPr>
                <w:rFonts w:ascii="Times New Roman" w:eastAsia="Times New Roman" w:hAnsi="Times New Roman" w:cs="Times New Roman"/>
                <w:b/>
                <w:bCs/>
                <w:sz w:val="18"/>
                <w:szCs w:val="18"/>
                <w:lang w:eastAsia="tr-TR"/>
              </w:rPr>
              <w:t>DAİR YÖNETMELİK</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Amaç</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1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Bu Yönetmeliğin amacı, gıda işletmelerindeki yerel, marjinal ve sınırlı faaliyetlere ilişkin hususları belirlemektir.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Kapsam</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2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Bu Yönetmelik, son tüketicinin yanı sıra bir başka perakendeciye et ve et ürünlerinden çiğ et ve kıyma, süt ve süt ürünleri kapsamındaki çiğ süt, içme sütü, kolostrum, kolostrum bazlı ürünler, çiğ krema ve kaymak dışındaki süt ve süt ürünleri ile bütün halindeki balık ve su ürünlerini arz eden perakende gıda işletmesini kapsar.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(2) Bu Yönetmelik hükümlerinde belirtilmeyen hayvansal gıdalar ve hazır ambalajlı olarak tedarik edilerek ambalajı bozulmadan arz edilen hayvansal gıdalar kapsam dışındadır.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Dayanak</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3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Bu Yönetmelik, 11/6/2010 tarihli ve 5996 sayılı Veteriner Hizmetleri, Bitki Sağlığı, Gıda ve Yem Kanununun 30 ve 44 üncü maddelerine dayanılarak hazırlanmıştır.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Tanımlar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4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5996 sayılı Kanunun 3 üncü maddesi, 17/12/2011 tarihli ve 28145 sayılı Resmî Gazete’de yayımlanan Gıda Hijyeni Yönetmeliği, 17/12/2011 tarihli ve 28145 sayılı Resmî Gazete’de yayımlanan Gıda İşletmelerinin Kayıt ve Onay İşlemlerine Dair Yönetmelik, 17/12/2011 tarihli ve 28145 sayılı Resmî Gazete’de yayımlanan Gıda ve Yemin Resmi Kontrollerine Dair Yönetmelik, 17/12/2011 tarihli ve 28145 sayılı Resmî Gazete’de yayımlanan Hayvansal Gıdaların Resmi Kontrollerine İlişkin Özel Kuralları Belirleyen Yönetmelik ve 27/12/2011 tarihli ve 28155 sayılı Resmî Gazete’de yayımlanan Hayvansal Gıdalar İçin Özel Hijyen Kuralları Yönetmeliğinde yer alan tanımlara ilave olarak bu Yönetmelikte geçen;</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a) Marjinal: Perakendecinin başka bir perakendeciye arz edebileceği hayvansal gıdanın günlük, haftalık veya yıllık olarak belirlenmiş maksimum miktarını,</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b) Sınırlı: Hayvansal gıdayı arz eden ve/veya tedarik eden, belirlenmiş perakende işletme tipini ve/veya hayvansal gıdayı,</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c) Yerel: Hayvansal gıdanın arz edilebileceği coğrafi olarak sınırlandırılmış alanı,</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ifade eder.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Genel hükümler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5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Bu Yönetmelik kapsamında yer alan hayvansal gıdaların, perakendeci tarafından son tüketiciye satışının yanı sıra başka bir gıda işletmesine arzı, bu gıda işletmesinin de sadece son tüketiciye satış yapan perakendeci olması şartıyla, bu Yönetmelikte belirlenen yerel, marjinal ve sınırlı faaliyetlere ilişkin gerekliliklere uygun olarak yapılır.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(2) Birinci fıkrada belirtilen hayvansal gıdanın perakendeci tarafından başka bir perakendeciye arzında, perakendecinin bu arzının yerel, marjinal ve sınırlı faaliyetler içerisinde kalması şartıyla, işletmesi kayıt kapsamındaki gıda işletmesi olarak değerlendirilir.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(3) Gıda işletmecisi yerel, marjinal ve sınırlı faaliyetler kapsamında tedarik ettiği gıdayı sadece son tüketiciye arz edebilir, son tüketiciye satış amacıyla işleyebilir, muameleye tabi tutabilir ve/veya depolayabilir.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(4) Hayvansal gıdanın, perakendeci tarafından başka bir perakendeciye arz edilebilmesi için “yerel”, “marjinal” ve “sınırlı” olarak tanımlanan faaliyetler için getirilen gerekliliklerin tamamını karşılaması gerekir.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(5) Yetkili merci; yerel, marjinal ve sınırlı faaliyet kapsamındaki perakendecilerin listesini oluşturur ve bu listeleri güncel tutar.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Bildirim zorunluluğu</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6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Yerel, marjinal ve sınırlı faaliyette bulunmak isteyen perakendeci, yetkili mercie aşağıdaki bilgilerin yer aldığı Ek-1’de yer alan dilekçe ile başvuruda bulunur: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a) İşletme kayıt numarası.</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b) Yerel, marjinal ve sınırlı faaliyet kapsamında arz edilecek hayvansal gıda.</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c) Yerel, marjinal ve sınırlı faaliyet için belirlenen gerekliliklere uyacağına dair Ek-2’de yer alan taahhütname.</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Et ve et ürünleri için özel hükümler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7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Et ve et ürünleri için yerel faaliyet; perakende işletmenin bulunduğu nokta merkez kabul edilerek 50 kilometrelik yarıçap içerisinde kalan alanda yapılır.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lastRenderedPageBreak/>
              <w:t>(2) Et ve et ürünleri için marjinal faaliyet; perakendecinin diğer perakendeciye yapabileceği toplam arz, haftalık olarak 2.500 kilogramı geçemez.</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(3) Et ve et ürünleri için sınırlı faaliyette;</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a) Çiğ et ve kıyma, sadece kasaplar tarafından diğer perakendecilere arz edilebilir.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b) Hazırlanmış et karışımları ve et ürünleri arz edilemez.</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Süt ve süt ürünleri için özel hükümler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8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Süt ve süt ürünleri için yerel faaliyet, perakende işletmenin bulunduğu nokta merkez kabul edilerek 50 kilometrelik yarıçap içerisinde kalan alanda yapılır.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(2) Süt ve süt ürünleri için marjinal faaliyet, perakendecinin diğer perakendeciye yapabileceği toplam arz haftalık olarak 500 kilogramı geçemez.</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(3) Süt ve süt ürünleri için sınırlı faaliyette;</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a) Bu fıkranın (b) bendinde belirtilenler dışındaki süt ve süt ürünleri, perakendeciler tarafından diğer perakendecilere arz edilebilir.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b) Çiğ süt, içme sütü, kolostrum, kolostrum bazlı ürünler, çiğ krema ve kaymak arz edilemez.</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Balıkçılık ürünleri için özel hükümler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9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Balıkçılık ürünleri için yerel faaliyet, perakende işletmenin bulunduğu nokta merkez kabul edilerek 50 kilometrelik yarıçap içerisinde kalan alanda yapılır.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(2) Balıkçılık ürünleri için marjinal faaliyet, perakendecinin diğer perakendeciye yapabileceği toplam arz, haftalık olarak 500 kilogramı geçemez.</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(3) Balıkçılık ürünleri için sınırlı faaliyette, sadece bütün halindeki balıkçılık ürünleri arz edilir.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(4) Bütün halindeki balıkçılık ürünleri sadece balık satış yerleri tarafından diğer perakendecilere arz edilir.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Özel hüküm</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10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 xml:space="preserve">(1) Bu Yönetmelikte belirtilen marjinal faaliyetlerin birden fazlasını yapan perakendecinin, bu faaliyet kapsamındaki toplam arzı, bu Yönetmeliğin 7 </w:t>
            </w:r>
            <w:proofErr w:type="spellStart"/>
            <w:r w:rsidRPr="007C3E01">
              <w:rPr>
                <w:rFonts w:ascii="Times New Roman" w:eastAsia="Times New Roman" w:hAnsi="Times New Roman" w:cs="Times New Roman"/>
                <w:sz w:val="18"/>
                <w:szCs w:val="18"/>
                <w:lang w:eastAsia="tr-TR"/>
              </w:rPr>
              <w:t>nci</w:t>
            </w:r>
            <w:proofErr w:type="spellEnd"/>
            <w:r w:rsidRPr="007C3E01">
              <w:rPr>
                <w:rFonts w:ascii="Times New Roman" w:eastAsia="Times New Roman" w:hAnsi="Times New Roman" w:cs="Times New Roman"/>
                <w:sz w:val="18"/>
                <w:szCs w:val="18"/>
                <w:lang w:eastAsia="tr-TR"/>
              </w:rPr>
              <w:t>, 8 inci ve 9 uncu maddelerinde belirlenen miktarları geçmemek üzere toplamda haftalık olarak 2.500 kilogramı geçemez.</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Kayıtların tutulması</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11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Perakendeci; yerel, marjinal ve sınırlı faaliyet kapsamında arz edilen veya tedarik edilen hayvansal gıdaya ilişkin olarak, Gıda ve Yemin Resmi Kontrollerine Dair Yönetmeliğin 39 uncu maddesi gereği tutulması gereken izlenebilirliği sağlayan kayıtlar ile diğer kamu kurum ve kuruluşlarının ilgili mevzuatına göre düzenlenmiş fatura veya sevk irsaliyesini talebi halinde yetkili mercie sunar.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(2) Bu Yönetmelik kapsamındaki hayvansal gıdayı arz eden perakendeci, izlenebilirlik ve hijyen konusundaki mevzuat hükümlerinin gerektirdiği kayıtlara ilave olarak; hayvansal gıdayı arz ettiği perakendecilerinin işletme kayıt numaraları ile her bir perakendeciye sattığı hayvansal gıdanın miktarlarına ilişkin kayıtları tutar ve talep edilmesi halinde yetkili mercie sunar.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sz w:val="18"/>
                <w:szCs w:val="18"/>
                <w:lang w:eastAsia="tr-TR"/>
              </w:rPr>
              <w:t>(3) Bu madde kapsamında belirtilen kayıtlar, ilgili mevzuatında aksi belirtilmediği sürece elde edildikleri takvim yılının sonundan itibaren en az on iki aylık bir süre ile muhafaza edilir.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İdari yaptırım</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12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Bu Yönetmeliğe aykırı davrananlar hakkında 5996 sayılı Kanunun ilgili maddelerine göre idari yaptırım uygulanır.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Yürürlük</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13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Bu Yönetmelik yayımı tarihinde yürürlüğe girer.</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Yürütme</w:t>
            </w:r>
          </w:p>
          <w:p w:rsidR="007C3E01" w:rsidRPr="007C3E01" w:rsidRDefault="007C3E01" w:rsidP="007C3E01">
            <w:pPr>
              <w:spacing w:after="0" w:line="240" w:lineRule="atLeast"/>
              <w:ind w:firstLine="566"/>
              <w:jc w:val="both"/>
              <w:rPr>
                <w:rFonts w:ascii="Times New Roman" w:eastAsia="Times New Roman" w:hAnsi="Times New Roman" w:cs="Times New Roman"/>
                <w:sz w:val="19"/>
                <w:szCs w:val="19"/>
                <w:lang w:eastAsia="tr-TR"/>
              </w:rPr>
            </w:pPr>
            <w:r w:rsidRPr="007C3E01">
              <w:rPr>
                <w:rFonts w:ascii="Times New Roman" w:eastAsia="Times New Roman" w:hAnsi="Times New Roman" w:cs="Times New Roman"/>
                <w:b/>
                <w:bCs/>
                <w:sz w:val="18"/>
                <w:szCs w:val="18"/>
                <w:lang w:eastAsia="tr-TR"/>
              </w:rPr>
              <w:t>MADDE 14 –</w:t>
            </w:r>
            <w:r w:rsidRPr="007C3E01">
              <w:rPr>
                <w:rFonts w:ascii="Times New Roman" w:eastAsia="Times New Roman" w:hAnsi="Times New Roman" w:cs="Times New Roman"/>
                <w:b/>
                <w:bCs/>
                <w:sz w:val="18"/>
                <w:lang w:eastAsia="tr-TR"/>
              </w:rPr>
              <w:t> </w:t>
            </w:r>
            <w:r w:rsidRPr="007C3E01">
              <w:rPr>
                <w:rFonts w:ascii="Times New Roman" w:eastAsia="Times New Roman" w:hAnsi="Times New Roman" w:cs="Times New Roman"/>
                <w:sz w:val="18"/>
                <w:szCs w:val="18"/>
                <w:lang w:eastAsia="tr-TR"/>
              </w:rPr>
              <w:t>(1) Bu Yönetmelik hükümlerini Gıda, Tarım ve Hayvancılık Bakanı yürütür.</w:t>
            </w:r>
          </w:p>
        </w:tc>
      </w:tr>
    </w:tbl>
    <w:p w:rsidR="00597CA6" w:rsidRPr="007C3E01" w:rsidRDefault="00597CA6" w:rsidP="007C3E01"/>
    <w:sectPr w:rsidR="00597CA6" w:rsidRPr="007C3E01"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7C3E01"/>
    <w:rsid w:val="004607A1"/>
    <w:rsid w:val="00597CA6"/>
    <w:rsid w:val="007C3E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C3E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C3E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C3E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C3E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C3E01"/>
  </w:style>
</w:styles>
</file>

<file path=word/webSettings.xml><?xml version="1.0" encoding="utf-8"?>
<w:webSettings xmlns:r="http://schemas.openxmlformats.org/officeDocument/2006/relationships" xmlns:w="http://schemas.openxmlformats.org/wordprocessingml/2006/main">
  <w:divs>
    <w:div w:id="3776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2016-07-26T06:04:00Z</dcterms:created>
  <dcterms:modified xsi:type="dcterms:W3CDTF">2016-07-26T06:04:00Z</dcterms:modified>
</cp:coreProperties>
</file>