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4A16F1" w:rsidRPr="004A16F1" w:rsidTr="004A16F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4A16F1" w:rsidRPr="004A16F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A16F1" w:rsidRPr="004A16F1" w:rsidRDefault="004A16F1" w:rsidP="004A16F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4A16F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7 Eylül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A16F1" w:rsidRPr="004A16F1" w:rsidRDefault="004A16F1" w:rsidP="004A16F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A16F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A16F1" w:rsidRPr="004A16F1" w:rsidRDefault="004A16F1" w:rsidP="004A16F1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A16F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29824</w:t>
                  </w:r>
                  <w:proofErr w:type="gramEnd"/>
                </w:p>
              </w:tc>
            </w:tr>
            <w:tr w:rsidR="004A16F1" w:rsidRPr="004A16F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A16F1" w:rsidRPr="004A16F1" w:rsidRDefault="004A16F1" w:rsidP="004A16F1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A16F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A16F1" w:rsidRPr="004A16F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A16F1" w:rsidRPr="004A16F1" w:rsidRDefault="004A16F1" w:rsidP="004A16F1">
                  <w:pPr>
                    <w:spacing w:line="240" w:lineRule="exact"/>
                    <w:ind w:right="-432" w:firstLine="42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Cumhuriyet Merkez Bankasından:</w:t>
                  </w:r>
                </w:p>
                <w:p w:rsidR="004A16F1" w:rsidRPr="004A16F1" w:rsidRDefault="004A16F1" w:rsidP="004A16F1">
                  <w:pPr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ZORUNLU KARŞILIKLAR HAKKINDA TEBLİĞ (SAYI: 2013/15)’DE </w:t>
                  </w:r>
                </w:p>
                <w:p w:rsidR="004A16F1" w:rsidRPr="004A16F1" w:rsidRDefault="004A16F1" w:rsidP="004A16F1">
                  <w:pPr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DEĞİŞİKLİK YAPILMASINA DAİR TEBLİĞ  </w:t>
                  </w:r>
                </w:p>
                <w:p w:rsidR="004A16F1" w:rsidRPr="004A16F1" w:rsidRDefault="004A16F1" w:rsidP="004A16F1">
                  <w:pPr>
                    <w:spacing w:after="20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(SAYI: 2016/4)</w:t>
                  </w:r>
                </w:p>
                <w:p w:rsidR="004A16F1" w:rsidRPr="004A16F1" w:rsidRDefault="004A16F1" w:rsidP="004A16F1">
                  <w:pPr>
                    <w:spacing w:after="1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ab/>
                  </w:r>
                  <w:r w:rsidRPr="004A16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4A16F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25/12/2013</w:t>
                  </w:r>
                  <w:proofErr w:type="gramEnd"/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 xml:space="preserve"> tarihli ve 28862 sayılı Resmî </w:t>
                  </w:r>
                  <w:proofErr w:type="spellStart"/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 xml:space="preserve"> yayımlanan </w:t>
                  </w:r>
                  <w:r w:rsidRPr="004A16F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Zorunlu Karşılıklar Hakkında Tebliğ (Sayı: 2013/15)’in 6 </w:t>
                  </w:r>
                  <w:proofErr w:type="spellStart"/>
                  <w:r w:rsidRPr="004A16F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4A16F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 aşağıdaki şekilde değiştirilmiştir.</w:t>
                  </w:r>
                </w:p>
                <w:p w:rsidR="004A16F1" w:rsidRPr="004A16F1" w:rsidRDefault="004A16F1" w:rsidP="004A16F1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“(1)</w:t>
                  </w:r>
                  <w:r w:rsidRPr="004A16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Zorunlu karşılık oranları</w:t>
                  </w:r>
                  <w:r w:rsidRPr="004A16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Türk lirası yükümlülükler için aşağıdaki gibidir:</w:t>
                  </w:r>
                </w:p>
                <w:tbl>
                  <w:tblPr>
                    <w:tblW w:w="743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375"/>
                    <w:gridCol w:w="1062"/>
                  </w:tblGrid>
                  <w:tr w:rsidR="004A16F1" w:rsidRPr="004A16F1">
                    <w:trPr>
                      <w:jc w:val="center"/>
                    </w:trPr>
                    <w:tc>
                      <w:tcPr>
                        <w:tcW w:w="63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>Mevduat/katılım fonu (yurt dışı bankalar mevduatı/katılım fonu hariç)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63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a) Vadesiz, ihbarlı, 1 aya kadar ve 3 aya kadar (3 ay dâhil) vadeli 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%10,5</w:t>
                        </w:r>
                      </w:p>
                    </w:tc>
                  </w:tr>
                  <w:tr w:rsidR="004A16F1" w:rsidRPr="004A16F1">
                    <w:trPr>
                      <w:trHeight w:val="333"/>
                      <w:jc w:val="center"/>
                    </w:trPr>
                    <w:tc>
                      <w:tcPr>
                        <w:tcW w:w="63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b) 6 aya kadar (6 ay dâhil) vadeli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%7,5</w:t>
                        </w:r>
                      </w:p>
                    </w:tc>
                  </w:tr>
                  <w:tr w:rsidR="004A16F1" w:rsidRPr="004A16F1">
                    <w:trPr>
                      <w:trHeight w:val="310"/>
                      <w:jc w:val="center"/>
                    </w:trPr>
                    <w:tc>
                      <w:tcPr>
                        <w:tcW w:w="63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c) 1 yıla kadar vadeli 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%5,5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63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ç) 1 yıl ve 1 yıldan uzun vadeli 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%4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63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</w:pPr>
                        <w:proofErr w:type="spellStart"/>
                        <w:r w:rsidRPr="004A16F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>Müstakrizlerin</w:t>
                        </w:r>
                        <w:proofErr w:type="spellEnd"/>
                        <w:r w:rsidRPr="004A16F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 xml:space="preserve"> fonları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%10,5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63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>Diğer yükümlülükler (yurt dışı bankalar mevduatı/katılım fonu dâhil)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63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a) 1 yıla kadar (1 yıl dâhil) vadeli 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%10,5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63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b) 3 yıla kadar (3 yıl dâhil) vadeli 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%7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63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c) 3 yıldan uzun vadeli 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%4</w:t>
                        </w:r>
                      </w:p>
                    </w:tc>
                  </w:tr>
                </w:tbl>
                <w:p w:rsidR="004A16F1" w:rsidRPr="004A16F1" w:rsidRDefault="004A16F1" w:rsidP="004A16F1">
                  <w:pPr>
                    <w:spacing w:line="240" w:lineRule="exact"/>
                    <w:ind w:right="-45" w:firstLine="612"/>
                    <w:jc w:val="right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4A16F1" w:rsidRPr="004A16F1" w:rsidRDefault="004A16F1" w:rsidP="004A16F1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 xml:space="preserve"> Aynı Tebliğin 7 </w:t>
                  </w:r>
                  <w:proofErr w:type="spellStart"/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 xml:space="preserve"> maddesinin birinci fıkrasının (a) ve (b) bentleri aşağıdaki şekilde değiştirilmiştir.</w:t>
                  </w:r>
                </w:p>
                <w:p w:rsidR="004A16F1" w:rsidRPr="004A16F1" w:rsidRDefault="004A16F1" w:rsidP="004A16F1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“a) En fazla yüzde 60’ı; tabloda belirtilen dilimlere denk gelen karşılıkların hizalarında gösterilen katsayılar ile çarpılmak suretiyle bulunan toplam tutarı üzerinden ABD doları cinsinden,</w:t>
                  </w:r>
                </w:p>
                <w:p w:rsidR="004A16F1" w:rsidRPr="004A16F1" w:rsidRDefault="004A16F1" w:rsidP="004A16F1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549"/>
                    <w:gridCol w:w="1546"/>
                  </w:tblGrid>
                  <w:tr w:rsidR="004A16F1" w:rsidRPr="004A16F1">
                    <w:trPr>
                      <w:trHeight w:val="70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İmkân Dilimleri (%)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Katsayı</w:t>
                        </w:r>
                      </w:p>
                    </w:tc>
                  </w:tr>
                  <w:tr w:rsidR="004A16F1" w:rsidRPr="004A16F1">
                    <w:trPr>
                      <w:trHeight w:val="84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0-30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1,0</w:t>
                        </w:r>
                      </w:p>
                    </w:tc>
                  </w:tr>
                  <w:tr w:rsidR="004A16F1" w:rsidRPr="004A16F1">
                    <w:trPr>
                      <w:trHeight w:val="84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30-35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1,7</w:t>
                        </w:r>
                      </w:p>
                    </w:tc>
                  </w:tr>
                  <w:tr w:rsidR="004A16F1" w:rsidRPr="004A16F1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35-40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2,1</w:t>
                        </w:r>
                      </w:p>
                    </w:tc>
                  </w:tr>
                  <w:tr w:rsidR="004A16F1" w:rsidRPr="004A16F1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40-45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2,5</w:t>
                        </w:r>
                      </w:p>
                    </w:tc>
                  </w:tr>
                  <w:tr w:rsidR="004A16F1" w:rsidRPr="004A16F1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45-50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2,7</w:t>
                        </w:r>
                      </w:p>
                    </w:tc>
                  </w:tr>
                  <w:tr w:rsidR="004A16F1" w:rsidRPr="004A16F1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50-55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3,1</w:t>
                        </w:r>
                      </w:p>
                    </w:tc>
                  </w:tr>
                  <w:tr w:rsidR="004A16F1" w:rsidRPr="004A16F1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55-56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3,9</w:t>
                        </w:r>
                      </w:p>
                    </w:tc>
                  </w:tr>
                  <w:tr w:rsidR="004A16F1" w:rsidRPr="004A16F1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56-57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4,1</w:t>
                        </w:r>
                      </w:p>
                    </w:tc>
                  </w:tr>
                  <w:tr w:rsidR="004A16F1" w:rsidRPr="004A16F1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57-58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4,3</w:t>
                        </w:r>
                      </w:p>
                    </w:tc>
                  </w:tr>
                  <w:tr w:rsidR="004A16F1" w:rsidRPr="004A16F1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58-59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4,5</w:t>
                        </w:r>
                      </w:p>
                    </w:tc>
                  </w:tr>
                  <w:tr w:rsidR="004A16F1" w:rsidRPr="004A16F1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59-60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4,7</w:t>
                        </w:r>
                      </w:p>
                    </w:tc>
                  </w:tr>
                </w:tbl>
                <w:p w:rsidR="004A16F1" w:rsidRPr="004A16F1" w:rsidRDefault="004A16F1" w:rsidP="004A16F1">
                  <w:pPr>
                    <w:tabs>
                      <w:tab w:val="left" w:pos="142"/>
                      <w:tab w:val="left" w:pos="709"/>
                      <w:tab w:val="left" w:pos="851"/>
                      <w:tab w:val="left" w:pos="993"/>
                      <w:tab w:val="left" w:pos="1134"/>
                    </w:tabs>
                    <w:spacing w:line="240" w:lineRule="exact"/>
                    <w:ind w:right="-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A16F1" w:rsidRPr="004A16F1" w:rsidRDefault="004A16F1" w:rsidP="004A16F1">
                  <w:pPr>
                    <w:tabs>
                      <w:tab w:val="left" w:pos="142"/>
                      <w:tab w:val="left" w:pos="709"/>
                      <w:tab w:val="left" w:pos="851"/>
                      <w:tab w:val="left" w:pos="993"/>
                      <w:tab w:val="left" w:pos="1134"/>
                    </w:tabs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b) En fazla yüzde 30’u; tabloda belirtilen dilimlere denk gelen karşılıkların hizalarında gösterilen katsayılar ile çarpılmak suretiyle bulunan toplam tutarı üzerinden standart altın cinsinden, </w:t>
                  </w:r>
                </w:p>
                <w:p w:rsidR="004A16F1" w:rsidRPr="004A16F1" w:rsidRDefault="004A16F1" w:rsidP="004A16F1">
                  <w:pPr>
                    <w:tabs>
                      <w:tab w:val="left" w:pos="142"/>
                      <w:tab w:val="left" w:pos="709"/>
                      <w:tab w:val="left" w:pos="851"/>
                      <w:tab w:val="left" w:pos="993"/>
                      <w:tab w:val="left" w:pos="1134"/>
                    </w:tabs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83"/>
                    <w:gridCol w:w="1597"/>
                  </w:tblGrid>
                  <w:tr w:rsidR="004A16F1" w:rsidRPr="004A16F1">
                    <w:trPr>
                      <w:trHeight w:val="53"/>
                      <w:jc w:val="center"/>
                    </w:trPr>
                    <w:tc>
                      <w:tcPr>
                        <w:tcW w:w="24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İmkân Dilimleri (%)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Katsayı</w:t>
                        </w:r>
                      </w:p>
                    </w:tc>
                  </w:tr>
                  <w:tr w:rsidR="004A16F1" w:rsidRPr="004A16F1">
                    <w:trPr>
                      <w:trHeight w:val="84"/>
                      <w:jc w:val="center"/>
                    </w:trPr>
                    <w:tc>
                      <w:tcPr>
                        <w:tcW w:w="24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0-15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1,6</w:t>
                        </w:r>
                      </w:p>
                    </w:tc>
                  </w:tr>
                  <w:tr w:rsidR="004A16F1" w:rsidRPr="004A16F1">
                    <w:trPr>
                      <w:trHeight w:val="227"/>
                      <w:jc w:val="center"/>
                    </w:trPr>
                    <w:tc>
                      <w:tcPr>
                        <w:tcW w:w="24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15-20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1,7</w:t>
                        </w:r>
                      </w:p>
                    </w:tc>
                  </w:tr>
                  <w:tr w:rsidR="004A16F1" w:rsidRPr="004A16F1">
                    <w:trPr>
                      <w:trHeight w:val="227"/>
                      <w:jc w:val="center"/>
                    </w:trPr>
                    <w:tc>
                      <w:tcPr>
                        <w:tcW w:w="24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20-25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2,1</w:t>
                        </w:r>
                      </w:p>
                    </w:tc>
                  </w:tr>
                  <w:tr w:rsidR="004A16F1" w:rsidRPr="004A16F1">
                    <w:trPr>
                      <w:trHeight w:val="227"/>
                      <w:jc w:val="center"/>
                    </w:trPr>
                    <w:tc>
                      <w:tcPr>
                        <w:tcW w:w="24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25-30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A16F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2,5</w:t>
                        </w:r>
                      </w:p>
                    </w:tc>
                  </w:tr>
                </w:tbl>
                <w:p w:rsidR="004A16F1" w:rsidRPr="004A16F1" w:rsidRDefault="004A16F1" w:rsidP="004A16F1">
                  <w:pPr>
                    <w:spacing w:line="240" w:lineRule="exact"/>
                    <w:ind w:left="6373" w:right="-45" w:firstLine="14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4A16F1" w:rsidRPr="004A16F1" w:rsidRDefault="004A16F1" w:rsidP="004A16F1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</w:t>
                  </w:r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 xml:space="preserve"> Bu Tebliğ </w:t>
                  </w:r>
                  <w:proofErr w:type="gramStart"/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9/9/2016</w:t>
                  </w:r>
                  <w:proofErr w:type="gramEnd"/>
                  <w:r w:rsidRPr="004A16F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4A16F1" w:rsidRPr="004A16F1" w:rsidRDefault="004A16F1" w:rsidP="004A16F1">
                  <w:pPr>
                    <w:spacing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A16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 –</w:t>
                  </w:r>
                  <w:r w:rsidRPr="004A16F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Türkiye Cumhuriyet Merkez Bankası Başkanı yürütür.</w:t>
                  </w:r>
                </w:p>
                <w:p w:rsidR="004A16F1" w:rsidRPr="004A16F1" w:rsidRDefault="004A16F1" w:rsidP="004A16F1">
                  <w:pPr>
                    <w:spacing w:line="240" w:lineRule="exact"/>
                    <w:ind w:right="-43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3817"/>
                    <w:gridCol w:w="4251"/>
                  </w:tblGrid>
                  <w:tr w:rsidR="004A16F1" w:rsidRPr="004A16F1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A16F1">
                          <w:rPr>
                            <w:sz w:val="18"/>
                            <w:szCs w:val="18"/>
                          </w:rPr>
                          <w:t>25/12/2013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28862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b/>
                            <w:sz w:val="18"/>
                            <w:szCs w:val="18"/>
                          </w:rPr>
                          <w:lastRenderedPageBreak/>
                          <w:t>Tebliğde Değişiklik Yapan Tebliğlerin Yayımlandığı Resmî Gazete'nin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27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A16F1">
                          <w:rPr>
                            <w:sz w:val="18"/>
                            <w:szCs w:val="18"/>
                          </w:rPr>
                          <w:t>26/3/2014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28953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27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A16F1">
                          <w:rPr>
                            <w:sz w:val="18"/>
                            <w:szCs w:val="18"/>
                          </w:rPr>
                          <w:t>25/7/2014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29071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27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A16F1">
                          <w:rPr>
                            <w:sz w:val="18"/>
                            <w:szCs w:val="18"/>
                          </w:rPr>
                          <w:t>3/1/2015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29225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27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A16F1">
                          <w:rPr>
                            <w:sz w:val="18"/>
                            <w:szCs w:val="18"/>
                          </w:rPr>
                          <w:t>12/3/2015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29293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27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A16F1">
                          <w:rPr>
                            <w:sz w:val="18"/>
                            <w:szCs w:val="18"/>
                          </w:rPr>
                          <w:t>30/5/2015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29371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27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A16F1">
                          <w:rPr>
                            <w:sz w:val="18"/>
                            <w:szCs w:val="18"/>
                          </w:rPr>
                          <w:t>29/8/2015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29460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27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A16F1">
                          <w:rPr>
                            <w:sz w:val="18"/>
                            <w:szCs w:val="18"/>
                          </w:rPr>
                          <w:t>26/12/2015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29574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27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A16F1">
                          <w:rPr>
                            <w:sz w:val="18"/>
                            <w:szCs w:val="18"/>
                          </w:rPr>
                          <w:t>9/1/2016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29586</w:t>
                        </w:r>
                      </w:p>
                    </w:tc>
                  </w:tr>
                  <w:tr w:rsidR="004A16F1" w:rsidRPr="004A16F1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A16F1" w:rsidRPr="004A16F1" w:rsidRDefault="004A16F1" w:rsidP="004A16F1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ind w:right="271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4A16F1">
                          <w:rPr>
                            <w:sz w:val="18"/>
                            <w:szCs w:val="18"/>
                          </w:rPr>
                          <w:t>10/8/2016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A16F1" w:rsidRPr="004A16F1" w:rsidRDefault="004A16F1" w:rsidP="004A16F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16F1">
                          <w:rPr>
                            <w:sz w:val="18"/>
                            <w:szCs w:val="18"/>
                          </w:rPr>
                          <w:t>29797</w:t>
                        </w:r>
                      </w:p>
                    </w:tc>
                  </w:tr>
                </w:tbl>
                <w:p w:rsidR="004A16F1" w:rsidRPr="004A16F1" w:rsidRDefault="004A16F1" w:rsidP="004A16F1">
                  <w:pPr>
                    <w:spacing w:line="240" w:lineRule="exact"/>
                    <w:ind w:right="-43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A16F1" w:rsidRPr="004A16F1" w:rsidRDefault="004A16F1" w:rsidP="004A16F1">
                  <w:pPr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A16F1" w:rsidRPr="004A16F1" w:rsidRDefault="004A16F1" w:rsidP="004A16F1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A16F1" w:rsidRPr="004A16F1" w:rsidRDefault="004A16F1" w:rsidP="004A16F1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4F5"/>
    <w:rsid w:val="0046759C"/>
    <w:rsid w:val="004A16F1"/>
    <w:rsid w:val="00EA74F5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86011-E4FF-402E-8039-8B241D26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4A16F1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4A16F1"/>
    <w:pPr>
      <w:spacing w:line="240" w:lineRule="auto"/>
      <w:ind w:right="0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4A16F1"/>
    <w:rPr>
      <w:rFonts w:ascii="Tahoma" w:eastAsia="Times New Roman" w:hAnsi="Tahoma" w:cs="Times New Roman"/>
      <w:szCs w:val="20"/>
      <w:lang w:eastAsia="tr-TR"/>
    </w:rPr>
  </w:style>
  <w:style w:type="paragraph" w:styleId="GvdeMetni2">
    <w:name w:val="Body Text 2"/>
    <w:basedOn w:val="Normal"/>
    <w:link w:val="GvdeMetni2Char1"/>
    <w:semiHidden/>
    <w:unhideWhenUsed/>
    <w:rsid w:val="004A16F1"/>
    <w:pPr>
      <w:spacing w:after="120" w:line="480" w:lineRule="auto"/>
      <w:ind w:right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2Char">
    <w:name w:val="Gövde Metni 2 Char"/>
    <w:basedOn w:val="VarsaylanParagrafYazTipi"/>
    <w:uiPriority w:val="99"/>
    <w:semiHidden/>
    <w:rsid w:val="004A16F1"/>
  </w:style>
  <w:style w:type="paragraph" w:customStyle="1" w:styleId="3-NormalYaz">
    <w:name w:val="3-Normal Yazı"/>
    <w:rsid w:val="004A16F1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character" w:customStyle="1" w:styleId="GvdeMetni2Char1">
    <w:name w:val="Gövde Metni 2 Char1"/>
    <w:link w:val="GvdeMetni2"/>
    <w:semiHidden/>
    <w:locked/>
    <w:rsid w:val="004A16F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rsid w:val="004A16F1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2016-09-07T05:43:00Z</dcterms:created>
  <dcterms:modified xsi:type="dcterms:W3CDTF">2016-09-07T05:43:00Z</dcterms:modified>
</cp:coreProperties>
</file>