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335549" w:rsidRPr="00335549" w:rsidTr="0033554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35549" w:rsidRPr="00335549">
              <w:trPr>
                <w:trHeight w:val="317"/>
                <w:jc w:val="center"/>
              </w:trPr>
              <w:tc>
                <w:tcPr>
                  <w:tcW w:w="2931" w:type="dxa"/>
                  <w:tcBorders>
                    <w:top w:val="nil"/>
                    <w:left w:val="nil"/>
                    <w:bottom w:val="single" w:sz="4" w:space="0" w:color="660066"/>
                    <w:right w:val="nil"/>
                  </w:tcBorders>
                  <w:vAlign w:val="center"/>
                  <w:hideMark/>
                </w:tcPr>
                <w:p w:rsidR="00335549" w:rsidRPr="00335549" w:rsidRDefault="00335549" w:rsidP="00335549">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335549">
                    <w:rPr>
                      <w:rFonts w:ascii="Arial" w:eastAsia="Times New Roman" w:hAnsi="Arial" w:cs="Arial"/>
                      <w:sz w:val="16"/>
                      <w:szCs w:val="16"/>
                      <w:lang w:eastAsia="tr-TR"/>
                    </w:rPr>
                    <w:t>29 Eylül 2016 PERŞEMBE</w:t>
                  </w:r>
                </w:p>
              </w:tc>
              <w:tc>
                <w:tcPr>
                  <w:tcW w:w="2931" w:type="dxa"/>
                  <w:tcBorders>
                    <w:top w:val="nil"/>
                    <w:left w:val="nil"/>
                    <w:bottom w:val="single" w:sz="4" w:space="0" w:color="660066"/>
                    <w:right w:val="nil"/>
                  </w:tcBorders>
                  <w:vAlign w:val="center"/>
                  <w:hideMark/>
                </w:tcPr>
                <w:p w:rsidR="00335549" w:rsidRPr="00335549" w:rsidRDefault="00335549" w:rsidP="0033554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33554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35549" w:rsidRPr="00335549" w:rsidRDefault="00335549" w:rsidP="00335549">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335549">
                    <w:rPr>
                      <w:rFonts w:ascii="Arial" w:eastAsia="Times New Roman" w:hAnsi="Arial" w:cs="Arial"/>
                      <w:sz w:val="16"/>
                      <w:szCs w:val="16"/>
                      <w:lang w:eastAsia="tr-TR"/>
                    </w:rPr>
                    <w:t>Sayı : 29842</w:t>
                  </w:r>
                  <w:proofErr w:type="gramEnd"/>
                </w:p>
              </w:tc>
            </w:tr>
            <w:tr w:rsidR="00335549" w:rsidRPr="00335549">
              <w:trPr>
                <w:trHeight w:val="480"/>
                <w:jc w:val="center"/>
              </w:trPr>
              <w:tc>
                <w:tcPr>
                  <w:tcW w:w="8789" w:type="dxa"/>
                  <w:gridSpan w:val="3"/>
                  <w:vAlign w:val="center"/>
                  <w:hideMark/>
                </w:tcPr>
                <w:p w:rsidR="00335549" w:rsidRPr="00335549" w:rsidRDefault="00335549" w:rsidP="0033554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335549">
                    <w:rPr>
                      <w:rFonts w:ascii="Arial" w:eastAsia="Times New Roman" w:hAnsi="Arial" w:cs="Arial"/>
                      <w:b/>
                      <w:color w:val="000080"/>
                      <w:sz w:val="18"/>
                      <w:szCs w:val="18"/>
                      <w:lang w:eastAsia="tr-TR"/>
                    </w:rPr>
                    <w:t>TEBLİĞ</w:t>
                  </w:r>
                </w:p>
              </w:tc>
            </w:tr>
            <w:tr w:rsidR="00335549" w:rsidRPr="00335549">
              <w:trPr>
                <w:trHeight w:val="480"/>
                <w:jc w:val="center"/>
              </w:trPr>
              <w:tc>
                <w:tcPr>
                  <w:tcW w:w="8789" w:type="dxa"/>
                  <w:gridSpan w:val="3"/>
                  <w:vAlign w:val="center"/>
                </w:tcPr>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335549">
                    <w:rPr>
                      <w:rFonts w:ascii="Times New Roman" w:eastAsia="Times New Roman" w:hAnsi="Times New Roman" w:cs="Times New Roman"/>
                      <w:sz w:val="18"/>
                      <w:szCs w:val="18"/>
                      <w:u w:val="single"/>
                      <w:lang w:eastAsia="tr-TR"/>
                    </w:rPr>
                    <w:t>Gümrük ve Ticaret Bakanlığından:</w:t>
                  </w:r>
                </w:p>
                <w:p w:rsidR="00335549" w:rsidRPr="00335549" w:rsidRDefault="00335549" w:rsidP="00335549">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335549">
                    <w:rPr>
                      <w:rFonts w:ascii="Times New Roman" w:eastAsia="Times New Roman" w:hAnsi="Times New Roman" w:cs="Times New Roman"/>
                      <w:b/>
                      <w:bCs/>
                      <w:sz w:val="18"/>
                      <w:szCs w:val="18"/>
                      <w:lang w:eastAsia="tr-TR"/>
                    </w:rPr>
                    <w:t>GÜMRÜK GENEL TEBLİĞİ</w:t>
                  </w:r>
                </w:p>
                <w:p w:rsidR="00335549" w:rsidRPr="00335549" w:rsidRDefault="00335549" w:rsidP="00335549">
                  <w:pPr>
                    <w:tabs>
                      <w:tab w:val="left" w:pos="566"/>
                    </w:tabs>
                    <w:spacing w:line="240" w:lineRule="exact"/>
                    <w:ind w:right="0"/>
                    <w:jc w:val="center"/>
                    <w:rPr>
                      <w:rFonts w:ascii="Times New Roman" w:eastAsia="Times New Roman" w:hAnsi="Times New Roman" w:cs="Times New Roman"/>
                      <w:b/>
                      <w:bCs/>
                      <w:sz w:val="18"/>
                      <w:szCs w:val="18"/>
                      <w:lang w:eastAsia="tr-TR"/>
                    </w:rPr>
                  </w:pPr>
                  <w:r w:rsidRPr="00335549">
                    <w:rPr>
                      <w:rFonts w:ascii="Times New Roman" w:eastAsia="Times New Roman" w:hAnsi="Times New Roman" w:cs="Times New Roman"/>
                      <w:b/>
                      <w:bCs/>
                      <w:sz w:val="18"/>
                      <w:szCs w:val="18"/>
                      <w:lang w:eastAsia="tr-TR"/>
                    </w:rPr>
                    <w:t>(NİHAİ KULLANIM)</w:t>
                  </w:r>
                </w:p>
                <w:p w:rsidR="00335549" w:rsidRPr="00335549" w:rsidRDefault="00335549" w:rsidP="00335549">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335549">
                    <w:rPr>
                      <w:rFonts w:ascii="Times New Roman" w:eastAsia="Times New Roman" w:hAnsi="Times New Roman" w:cs="Times New Roman"/>
                      <w:b/>
                      <w:bCs/>
                      <w:sz w:val="18"/>
                      <w:szCs w:val="18"/>
                      <w:lang w:eastAsia="tr-TR"/>
                    </w:rPr>
                    <w:t>(SERİ NO: 1)</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Amaç</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1 –</w:t>
                  </w:r>
                  <w:r w:rsidRPr="00335549">
                    <w:rPr>
                      <w:rFonts w:ascii="Times New Roman" w:eastAsia="Times New Roman" w:hAnsi="Times New Roman" w:cs="Times New Roman"/>
                      <w:sz w:val="18"/>
                      <w:szCs w:val="18"/>
                      <w:lang w:eastAsia="tr-TR"/>
                    </w:rPr>
                    <w:t xml:space="preserve"> (1) Bu Tebliğin amacı, nihai kullanıma tabi tutulacak eşyanın nihai kullanım uygulamasından yararlanmasına, nihai kullanım sürecinde denetlenmesine ve nihai kullanım nedeniyle alınan teminatların iade edilmesine ilişkin usul ve esasları belirlemektir.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 xml:space="preserve">Kapsam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2 –</w:t>
                  </w:r>
                  <w:r w:rsidRPr="00335549">
                    <w:rPr>
                      <w:rFonts w:ascii="Times New Roman" w:eastAsia="Times New Roman" w:hAnsi="Times New Roman" w:cs="Times New Roman"/>
                      <w:sz w:val="18"/>
                      <w:szCs w:val="18"/>
                      <w:lang w:eastAsia="tr-TR"/>
                    </w:rPr>
                    <w:t xml:space="preserve"> (1) Bu Tebliğ, eşyanın nihai kullanım amacıyla serbest dolaşıma giriş rejimine tabi tutulması ve nihai kullanım izninin sona ermesine kadar olan işlemlere ilişkin usul ve esasları kapsar.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Dayanak</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3 –</w:t>
                  </w:r>
                  <w:r w:rsidRPr="00335549">
                    <w:rPr>
                      <w:rFonts w:ascii="Times New Roman" w:eastAsia="Times New Roman" w:hAnsi="Times New Roman" w:cs="Times New Roman"/>
                      <w:sz w:val="18"/>
                      <w:szCs w:val="18"/>
                      <w:lang w:eastAsia="tr-TR"/>
                    </w:rPr>
                    <w:t xml:space="preserve"> (1) Bu Tebliğ, </w:t>
                  </w:r>
                  <w:proofErr w:type="gramStart"/>
                  <w:r w:rsidRPr="00335549">
                    <w:rPr>
                      <w:rFonts w:ascii="Times New Roman" w:eastAsia="Times New Roman" w:hAnsi="Times New Roman" w:cs="Times New Roman"/>
                      <w:sz w:val="18"/>
                      <w:szCs w:val="18"/>
                      <w:lang w:eastAsia="tr-TR"/>
                    </w:rPr>
                    <w:t>27/10/1999</w:t>
                  </w:r>
                  <w:proofErr w:type="gramEnd"/>
                  <w:r w:rsidRPr="00335549">
                    <w:rPr>
                      <w:rFonts w:ascii="Times New Roman" w:eastAsia="Times New Roman" w:hAnsi="Times New Roman" w:cs="Times New Roman"/>
                      <w:sz w:val="18"/>
                      <w:szCs w:val="18"/>
                      <w:lang w:eastAsia="tr-TR"/>
                    </w:rPr>
                    <w:t xml:space="preserve"> tarihli ve 4458 sayılı Gümrük Kanununun 16, 77, 78, 81 ve 83 üncü maddeleri, 7/10/2009 tarihli ve 27369 mükerrer sayılı Resmî </w:t>
                  </w:r>
                  <w:proofErr w:type="spellStart"/>
                  <w:r w:rsidRPr="00335549">
                    <w:rPr>
                      <w:rFonts w:ascii="Times New Roman" w:eastAsia="Times New Roman" w:hAnsi="Times New Roman" w:cs="Times New Roman"/>
                      <w:sz w:val="18"/>
                      <w:szCs w:val="18"/>
                      <w:lang w:eastAsia="tr-TR"/>
                    </w:rPr>
                    <w:t>Gazete’de</w:t>
                  </w:r>
                  <w:proofErr w:type="spellEnd"/>
                  <w:r w:rsidRPr="00335549">
                    <w:rPr>
                      <w:rFonts w:ascii="Times New Roman" w:eastAsia="Times New Roman" w:hAnsi="Times New Roman" w:cs="Times New Roman"/>
                      <w:sz w:val="18"/>
                      <w:szCs w:val="18"/>
                      <w:lang w:eastAsia="tr-TR"/>
                    </w:rPr>
                    <w:t xml:space="preserve"> yayımlanan Gümrük Yönetmeliğinin 207 ila 211 inci maddeleri ile 216 </w:t>
                  </w:r>
                  <w:proofErr w:type="spellStart"/>
                  <w:r w:rsidRPr="00335549">
                    <w:rPr>
                      <w:rFonts w:ascii="Times New Roman" w:eastAsia="Times New Roman" w:hAnsi="Times New Roman" w:cs="Times New Roman"/>
                      <w:sz w:val="18"/>
                      <w:szCs w:val="18"/>
                      <w:lang w:eastAsia="tr-TR"/>
                    </w:rPr>
                    <w:t>ncı</w:t>
                  </w:r>
                  <w:proofErr w:type="spellEnd"/>
                  <w:r w:rsidRPr="00335549">
                    <w:rPr>
                      <w:rFonts w:ascii="Times New Roman" w:eastAsia="Times New Roman" w:hAnsi="Times New Roman" w:cs="Times New Roman"/>
                      <w:sz w:val="18"/>
                      <w:szCs w:val="18"/>
                      <w:lang w:eastAsia="tr-TR"/>
                    </w:rPr>
                    <w:t xml:space="preserve"> maddesi, 29/9/2009 tarihli ve 2009/15481 sayılı Bakanlar Kurulu Kararı ile yürürlüğe konulan 4458 sayılı Gümrük Kanununun Bazı Maddelerinin Uygulanması Hakkında Kararın 4 ila 12 </w:t>
                  </w:r>
                  <w:proofErr w:type="spellStart"/>
                  <w:r w:rsidRPr="00335549">
                    <w:rPr>
                      <w:rFonts w:ascii="Times New Roman" w:eastAsia="Times New Roman" w:hAnsi="Times New Roman" w:cs="Times New Roman"/>
                      <w:sz w:val="18"/>
                      <w:szCs w:val="18"/>
                      <w:lang w:eastAsia="tr-TR"/>
                    </w:rPr>
                    <w:t>nci</w:t>
                  </w:r>
                  <w:proofErr w:type="spellEnd"/>
                  <w:r w:rsidRPr="00335549">
                    <w:rPr>
                      <w:rFonts w:ascii="Times New Roman" w:eastAsia="Times New Roman" w:hAnsi="Times New Roman" w:cs="Times New Roman"/>
                      <w:sz w:val="18"/>
                      <w:szCs w:val="18"/>
                      <w:lang w:eastAsia="tr-TR"/>
                    </w:rPr>
                    <w:t xml:space="preserve"> maddeleri uyarınca hazırlanmıştır.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Nihai kullanım izni verilebilecek kişiler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4 –</w:t>
                  </w:r>
                  <w:r w:rsidRPr="00335549">
                    <w:rPr>
                      <w:rFonts w:ascii="Times New Roman" w:eastAsia="Times New Roman" w:hAnsi="Times New Roman" w:cs="Times New Roman"/>
                      <w:sz w:val="18"/>
                      <w:szCs w:val="18"/>
                      <w:lang w:eastAsia="tr-TR"/>
                    </w:rPr>
                    <w:t xml:space="preserve"> (1) Nihai kullanım izni, eşyayı kendileri nihai kullanıma tabi tutacak ithalatçılara veya eşyayı nihai kullanıma tabi tutacak firmalara devretmek suretiyle ithal eden ithalatçılara verilir.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Nihai kullanım izni</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5 –</w:t>
                  </w:r>
                  <w:r w:rsidRPr="00335549">
                    <w:rPr>
                      <w:rFonts w:ascii="Times New Roman" w:eastAsia="Times New Roman" w:hAnsi="Times New Roman" w:cs="Times New Roman"/>
                      <w:sz w:val="18"/>
                      <w:szCs w:val="18"/>
                      <w:lang w:eastAsia="tr-TR"/>
                    </w:rPr>
                    <w:t xml:space="preserve"> (1) </w:t>
                  </w:r>
                  <w:proofErr w:type="gramStart"/>
                  <w:r w:rsidRPr="00335549">
                    <w:rPr>
                      <w:rFonts w:ascii="Times New Roman" w:eastAsia="Times New Roman" w:hAnsi="Times New Roman" w:cs="Times New Roman"/>
                      <w:sz w:val="18"/>
                      <w:szCs w:val="18"/>
                      <w:lang w:eastAsia="tr-TR"/>
                    </w:rPr>
                    <w:t>20/12/1995</w:t>
                  </w:r>
                  <w:proofErr w:type="gramEnd"/>
                  <w:r w:rsidRPr="00335549">
                    <w:rPr>
                      <w:rFonts w:ascii="Times New Roman" w:eastAsia="Times New Roman" w:hAnsi="Times New Roman" w:cs="Times New Roman"/>
                      <w:sz w:val="18"/>
                      <w:szCs w:val="18"/>
                      <w:lang w:eastAsia="tr-TR"/>
                    </w:rPr>
                    <w:t xml:space="preserve"> tarihli ve 95/7606 sayılı Bakanlar Kurulu Kararı ile yürürlüğe konulan İthalat Rejimi Kararına ekli listelerde belirtilen nihai kullanıma konu eşyanın nihai kullanımı nedeniyle indirimli veya sıfır vergi oranı uygulanabilmesi için eşyanın serbest dolaşıma gireceği yetkili gümrük idaresinden, beyannamenin tescil tarihinden önce yazılı olarak talepte bulunulur.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 xml:space="preserve">(2) Nihai kullanım izin talepleri, Gümrük Yönetmeliğinin 28 no.lu ekinde yer alan başvuru formunun aynı Yönetmeliğin 29 no.lu ekinde yer alan açıklama notları çerçevesinde Tek Pencere Sistemi üzerinden elektronik ortamda yapılır.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(3) Eşyanın işlenmek üzere bir başka firmaya gönderilmek istenmesi halinde, bu durum izin başvurusunda belirtilir. Eşyanın ara işleme tabi tutulmak veya nihai kullanıma tahsis edilmek üzere başka bir firmaya gönderilmesi durumunda ise ara işleme tabi tutulmasına ya da nihai kullanıma tahsis edilmesine ilişkin belgelerin gümrük idaresine sunulması ve gümrük idaresince uygun bulunması gerekir.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 xml:space="preserve">(4) Nihai kullanım talebi, ilgili gümrük idaresi tarafından değerlendirilir. Talebin değerlendirilmesinde gümrük idaresince ayrıca başvuruda bulunan firmanın kapasite raporu,  mali kayıtları ve varsa daha önceden alınmış nihai kullanım izinleri gibi izin başvuru formunda yer alan bilgileri tevsiken ibraz edilen diğer bilgi ve belgeler de dikkate alınır. Eşya nihai kullanım izin belgesi kapsamında işlenmek üzere bir başka firmaya gönderilecek ise işleme faaliyetini gerçekleştirecek firmaya ve işleme faaliyetine ilişkin bilgiler de talebin değerlendirilmesinde dikkate alınır.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(5) İlgili gümrük idaresince yapılan değerlendirme sonucunda, Gümrük Yönetmeliğinin 30 no.lu ekinde yer alan nihai kullanım izin belgesi Tek Pencere Sistemi üzerinden elektronik ortamda düzenlenir.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 xml:space="preserve">(6) Nihai kullanım izin belgesinde, eşya işlenmek üzere bir başka firmaya gönderilecek ise işleme faaliyeti, firma bilgileri, işlem süresi gibi bilgilerin de yer alması gereklidir.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 xml:space="preserve">İthalatçılar tarafından yapılacak devir, satış ve eşyanın başka bir gümrük idaresine gönderilmesi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6 –</w:t>
                  </w:r>
                  <w:r w:rsidRPr="00335549">
                    <w:rPr>
                      <w:rFonts w:ascii="Times New Roman" w:eastAsia="Times New Roman" w:hAnsi="Times New Roman" w:cs="Times New Roman"/>
                      <w:sz w:val="18"/>
                      <w:szCs w:val="18"/>
                      <w:lang w:eastAsia="tr-TR"/>
                    </w:rPr>
                    <w:t xml:space="preserve"> (1) Nihai kullanım kapsamı eşya gümrük idaresinin izniyle bir izin hak sahibinden başka bir izin hak sahibine devredilebilir.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 xml:space="preserve">(2) Eşyanın başka bir izin hak sahibine devredilebilmesi için izni veren gümrük idaresine Gümrük Yönetmeliğinin 31 no.lu ekinde yer alan form ile başvurulur. Gümrük idaresince devir işlemine taraf kişilere ve nihai kullanıma tahsis edilecek eşyaya ilişkin bilgiler, başvuru formu ile diğer belgeler dikkate alınarak devir talebi değerlendirilir. Devir işlemine izin verilmesi durumunda, devralan izin hak sahibi tarafından devralınan nihai kullanım izni kapsamında beyanname tescil edilebilmesini </w:t>
                  </w:r>
                  <w:proofErr w:type="spellStart"/>
                  <w:r w:rsidRPr="00335549">
                    <w:rPr>
                      <w:rFonts w:ascii="Times New Roman" w:eastAsia="Times New Roman" w:hAnsi="Times New Roman" w:cs="Times New Roman"/>
                      <w:sz w:val="18"/>
                      <w:szCs w:val="18"/>
                      <w:lang w:eastAsia="tr-TR"/>
                    </w:rPr>
                    <w:t>teminen</w:t>
                  </w:r>
                  <w:proofErr w:type="spellEnd"/>
                  <w:r w:rsidRPr="00335549">
                    <w:rPr>
                      <w:rFonts w:ascii="Times New Roman" w:eastAsia="Times New Roman" w:hAnsi="Times New Roman" w:cs="Times New Roman"/>
                      <w:sz w:val="18"/>
                      <w:szCs w:val="18"/>
                      <w:lang w:eastAsia="tr-TR"/>
                    </w:rPr>
                    <w:t xml:space="preserve"> devralınan nihai kullanım iznine ilişkin firma bilgileri Tek Pencere Sistemi üzerinde güncellenir. Eşyanın başka bir izin hak sahibine devredilmesi halinde söz konusu eşyaya ilişkin hak ve yükümlülükler eşyayı devralan izin hak sahibine geçer.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 xml:space="preserve">(3) Nihai kullanım kapsamı eşya, izin belgesinde yapılacak işlem ve işlemi yapacak firma bilgilerinin detaylı olarak belirtilmesi kaydıyla ve gümrük idaresinin izniyle, ara işleme tabi tutulmak ya da nihai kullanıma tahsis edilmek üzere başka bir firmaya gönderilebilir. Bu durumda sorumluluk izin hak sahibine aittir.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lastRenderedPageBreak/>
                    <w:t xml:space="preserve">Nihai kullanım izninde değişiklik ve iptal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7 –</w:t>
                  </w:r>
                  <w:r w:rsidRPr="00335549">
                    <w:rPr>
                      <w:rFonts w:ascii="Times New Roman" w:eastAsia="Times New Roman" w:hAnsi="Times New Roman" w:cs="Times New Roman"/>
                      <w:sz w:val="18"/>
                      <w:szCs w:val="18"/>
                      <w:lang w:eastAsia="tr-TR"/>
                    </w:rPr>
                    <w:t xml:space="preserve"> (1) Gümrük idarelerince iznin verilmesinde göz önünde bulundurulan şartlardan birinde veya birkaçında değişiklik olduğunda izin belgesinde değişiklik yapılabilir.  Değişiklik işlemi izni veren gümrük idaresi tarafından Tek Pencere Sistemi üzerinden yapılır.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 xml:space="preserve">(2) Nihai kullanım izninin verilmesini müteakip gümrük idaresince gerek üretim mahallinde gerekse de firma kayıtları üzerinde yapılan denetimlerde nihai kullanım izni verilirken dikkate alınan unsurların birinde veya birkaçında değişiklik olduğu ve bu değişikliğin iznin kullanılmasına artık </w:t>
                  </w:r>
                  <w:proofErr w:type="gramStart"/>
                  <w:r w:rsidRPr="00335549">
                    <w:rPr>
                      <w:rFonts w:ascii="Times New Roman" w:eastAsia="Times New Roman" w:hAnsi="Times New Roman" w:cs="Times New Roman"/>
                      <w:sz w:val="18"/>
                      <w:szCs w:val="18"/>
                      <w:lang w:eastAsia="tr-TR"/>
                    </w:rPr>
                    <w:t>imkan</w:t>
                  </w:r>
                  <w:proofErr w:type="gramEnd"/>
                  <w:r w:rsidRPr="00335549">
                    <w:rPr>
                      <w:rFonts w:ascii="Times New Roman" w:eastAsia="Times New Roman" w:hAnsi="Times New Roman" w:cs="Times New Roman"/>
                      <w:sz w:val="18"/>
                      <w:szCs w:val="18"/>
                      <w:lang w:eastAsia="tr-TR"/>
                    </w:rPr>
                    <w:t xml:space="preserve"> vermediği durumlarda izin belgesi derhal iptal edilir. İptal işlemi izni veren gümrük idaresi tarafından Tek Pencere Sistemi üzerinden yapılır. Denetleyici ve izni veren gümrük idaresinin farklı olması durumunda, izin iptaline ilişkin ilgili bilgi ve belgeler, izin iptalini gerektiren durumun tespitini takip eden beş iş günü içinde iznin iptalini </w:t>
                  </w:r>
                  <w:proofErr w:type="spellStart"/>
                  <w:r w:rsidRPr="00335549">
                    <w:rPr>
                      <w:rFonts w:ascii="Times New Roman" w:eastAsia="Times New Roman" w:hAnsi="Times New Roman" w:cs="Times New Roman"/>
                      <w:sz w:val="18"/>
                      <w:szCs w:val="18"/>
                      <w:lang w:eastAsia="tr-TR"/>
                    </w:rPr>
                    <w:t>teminen</w:t>
                  </w:r>
                  <w:proofErr w:type="spellEnd"/>
                  <w:r w:rsidRPr="00335549">
                    <w:rPr>
                      <w:rFonts w:ascii="Times New Roman" w:eastAsia="Times New Roman" w:hAnsi="Times New Roman" w:cs="Times New Roman"/>
                      <w:sz w:val="18"/>
                      <w:szCs w:val="18"/>
                      <w:lang w:eastAsia="tr-TR"/>
                    </w:rPr>
                    <w:t xml:space="preserve"> izni veren gümrük idaresine gönderilir. İznin iptali durumunda, nihai kullanıma tahsis edilmemiş eşya ile ilgili gümrük vergileri ilgili mevzuat uyarınca tahsil edilir.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Nihai kullanım izninin sonradan verilmesi</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8 –</w:t>
                  </w:r>
                  <w:r w:rsidRPr="00335549">
                    <w:rPr>
                      <w:rFonts w:ascii="Times New Roman" w:eastAsia="Times New Roman" w:hAnsi="Times New Roman" w:cs="Times New Roman"/>
                      <w:sz w:val="18"/>
                      <w:szCs w:val="18"/>
                      <w:lang w:eastAsia="tr-TR"/>
                    </w:rPr>
                    <w:t xml:space="preserve">  (1) Tam beyanlı yaygın basitleştirilmiş usule tabi eşya ile sivil hava taşıtları ve parçaları hariç olmak üzere geçici depolama yeri veya antrepodaki eşya için, nihai kullanım izni beyannamenin kapatılmamış olması şartı ile sonradan verilebilir.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(2) Yetkilendirilmiş yükümlü sertifikası veya onaylanmış kişi statü belgesi sahibi kişilere, eşyanın ayniyatının veya nihai kullanıma tahsis edildiğinin tespit edilmesi şartı ile beyannamenin tescilinden itibaren üç ay içinde başvuruda bulunulması halinde nihai kullanım izni sonradan verilebilir.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 xml:space="preserve">(3) Nihai kullanım izninin geriye dönük olarak verilmesi halinde, nihai kullanım nedeniyle indirimli veya sıfır vergi oranı ile eşyaya isabet eden vergi oranı arasındaki fark 9 uncu madde gereğince teminat </w:t>
                  </w:r>
                  <w:proofErr w:type="gramStart"/>
                  <w:r w:rsidRPr="00335549">
                    <w:rPr>
                      <w:rFonts w:ascii="Times New Roman" w:eastAsia="Times New Roman" w:hAnsi="Times New Roman" w:cs="Times New Roman"/>
                      <w:sz w:val="18"/>
                      <w:szCs w:val="18"/>
                      <w:lang w:eastAsia="tr-TR"/>
                    </w:rPr>
                    <w:t>alınması  şartıyla</w:t>
                  </w:r>
                  <w:proofErr w:type="gramEnd"/>
                  <w:r w:rsidRPr="00335549">
                    <w:rPr>
                      <w:rFonts w:ascii="Times New Roman" w:eastAsia="Times New Roman" w:hAnsi="Times New Roman" w:cs="Times New Roman"/>
                      <w:sz w:val="18"/>
                      <w:szCs w:val="18"/>
                      <w:lang w:eastAsia="tr-TR"/>
                    </w:rPr>
                    <w:t xml:space="preserve"> ilgili mevzuat uyarınca geri verilir veya kaldırılır.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Teminat</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9 –</w:t>
                  </w:r>
                  <w:r w:rsidRPr="00335549">
                    <w:rPr>
                      <w:rFonts w:ascii="Times New Roman" w:eastAsia="Times New Roman" w:hAnsi="Times New Roman" w:cs="Times New Roman"/>
                      <w:sz w:val="18"/>
                      <w:szCs w:val="18"/>
                      <w:lang w:eastAsia="tr-TR"/>
                    </w:rPr>
                    <w:t xml:space="preserve"> (1) Nihai kullanım nedeniyle indirimli veya sıfır vergi oranı ile eşyaya isabet eden vergi oranı arasındaki fark kadar Gümrük Kanununun 202 </w:t>
                  </w:r>
                  <w:proofErr w:type="spellStart"/>
                  <w:r w:rsidRPr="00335549">
                    <w:rPr>
                      <w:rFonts w:ascii="Times New Roman" w:eastAsia="Times New Roman" w:hAnsi="Times New Roman" w:cs="Times New Roman"/>
                      <w:sz w:val="18"/>
                      <w:szCs w:val="18"/>
                      <w:lang w:eastAsia="tr-TR"/>
                    </w:rPr>
                    <w:t>nci</w:t>
                  </w:r>
                  <w:proofErr w:type="spellEnd"/>
                  <w:r w:rsidRPr="00335549">
                    <w:rPr>
                      <w:rFonts w:ascii="Times New Roman" w:eastAsia="Times New Roman" w:hAnsi="Times New Roman" w:cs="Times New Roman"/>
                      <w:sz w:val="18"/>
                      <w:szCs w:val="18"/>
                      <w:lang w:eastAsia="tr-TR"/>
                    </w:rPr>
                    <w:t xml:space="preserve"> maddesi çerçevesinde teminat alınır.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Denetim ve teminatın iadesi</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10 –</w:t>
                  </w:r>
                  <w:r w:rsidRPr="00335549">
                    <w:rPr>
                      <w:rFonts w:ascii="Times New Roman" w:eastAsia="Times New Roman" w:hAnsi="Times New Roman" w:cs="Times New Roman"/>
                      <w:sz w:val="18"/>
                      <w:szCs w:val="18"/>
                      <w:lang w:eastAsia="tr-TR"/>
                    </w:rPr>
                    <w:t xml:space="preserve"> (1) Gümrük idaresi nihai kullanıma konu eşya ve işlemi, üretim süreci de </w:t>
                  </w:r>
                  <w:proofErr w:type="gramStart"/>
                  <w:r w:rsidRPr="00335549">
                    <w:rPr>
                      <w:rFonts w:ascii="Times New Roman" w:eastAsia="Times New Roman" w:hAnsi="Times New Roman" w:cs="Times New Roman"/>
                      <w:sz w:val="18"/>
                      <w:szCs w:val="18"/>
                      <w:lang w:eastAsia="tr-TR"/>
                    </w:rPr>
                    <w:t>dahil</w:t>
                  </w:r>
                  <w:proofErr w:type="gramEnd"/>
                  <w:r w:rsidRPr="00335549">
                    <w:rPr>
                      <w:rFonts w:ascii="Times New Roman" w:eastAsia="Times New Roman" w:hAnsi="Times New Roman" w:cs="Times New Roman"/>
                      <w:sz w:val="18"/>
                      <w:szCs w:val="18"/>
                      <w:lang w:eastAsia="tr-TR"/>
                    </w:rPr>
                    <w:t xml:space="preserve"> olmak üzere her zaman denetleyebilir. Gümrük idareleri tarafından eşyanın nihai kullanıma tahsis sürecinde en az bir defa denetim yapılır. İznin sona ermesinden itibaren otuz gün içerisinde izni veren gümrük idaresine firmanın müracaatı üzerine veya bu süreden önce müracaat edilmesi halinde müracaat tarihinde yerinde nihai denetim yapılır. Denetimlerde ithal eşyasının ithal edildiği şekilde izin verilen yerlerde bulunup bulunmadığı, işleme tabi tutulmuşsa izine uygun olup olmadığı, öngörülen nihai ürünlerin elde edilip edilmediği tespit edilir. Denetimlere ilişkin bilgiler Gümrük Yönetmeliğinin 27 no.lu ekinde yer alan denetim formuna işlenir.  Denetim sonuçlarına ilişkin bilgi ve belgeler denetim formuna eklenir.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(2) İzin hak sahibi tarafından eşyanın öngörülen süre içerisinde Gümrük Yönetmeliğinin 209 uncu maddesi çerçevesinde nihai kullanıma tahsis edildiğinin ve öngörülen amaçlar için kullanıldığının tespit edilmesi halinde nihai kullanım izni Tek Pencere Sistemi üzerinden kapatılarak teminat iade edilir.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Denetleyici ve izni veren gümrük idareleri</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11 –</w:t>
                  </w:r>
                  <w:r w:rsidRPr="00335549">
                    <w:rPr>
                      <w:rFonts w:ascii="Times New Roman" w:eastAsia="Times New Roman" w:hAnsi="Times New Roman" w:cs="Times New Roman"/>
                      <w:sz w:val="18"/>
                      <w:szCs w:val="18"/>
                      <w:lang w:eastAsia="tr-TR"/>
                    </w:rPr>
                    <w:t xml:space="preserve"> (1) İzni veren gümrük idaresi denetleyici gümrük idaresidir. </w:t>
                  </w:r>
                  <w:proofErr w:type="gramStart"/>
                  <w:r w:rsidRPr="00335549">
                    <w:rPr>
                      <w:rFonts w:ascii="Times New Roman" w:eastAsia="Times New Roman" w:hAnsi="Times New Roman" w:cs="Times New Roman"/>
                      <w:sz w:val="18"/>
                      <w:szCs w:val="18"/>
                      <w:lang w:eastAsia="tr-TR"/>
                    </w:rPr>
                    <w:t xml:space="preserve">Ancak, ihtisas gümrüğü uygulaması ve eşyanın deniz yoluyla gelmesi gibi bazı zorunlu durumlar nedeniyle eşyanın nihai kullanıma tahsis edileceği veya öngörülen amaçlar için kullanılacağı yerin izni veren gümrük idaresinin bulunduğu il sınırları dışında olması durumunda, denetleyici gümrük idaresi eşyanın nihai kullanıma tahsis edileceği veya öngörülen amaçlar için kullanılacağı yere en yakın gümrük idaresidir. </w:t>
                  </w:r>
                  <w:proofErr w:type="gramEnd"/>
                  <w:r w:rsidRPr="00335549">
                    <w:rPr>
                      <w:rFonts w:ascii="Times New Roman" w:eastAsia="Times New Roman" w:hAnsi="Times New Roman" w:cs="Times New Roman"/>
                      <w:sz w:val="18"/>
                      <w:szCs w:val="18"/>
                      <w:lang w:eastAsia="tr-TR"/>
                    </w:rPr>
                    <w:t xml:space="preserve">Bu durumda, izni veren gümrük idaresi, denetleyici gümrük idaresine izin belgesi ve ekli belgeleri iznin verilmesini takip eden ilk iş günü içinde gönderir.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Bilgi ve belge verme zorunluluğu</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12 –</w:t>
                  </w:r>
                  <w:r w:rsidRPr="00335549">
                    <w:rPr>
                      <w:rFonts w:ascii="Times New Roman" w:eastAsia="Times New Roman" w:hAnsi="Times New Roman" w:cs="Times New Roman"/>
                      <w:sz w:val="18"/>
                      <w:szCs w:val="18"/>
                      <w:lang w:eastAsia="tr-TR"/>
                    </w:rPr>
                    <w:t xml:space="preserve"> (1) İzin hak sahibi veya nihai kullanım kapsamı eşyayı ara işleme tabi tutacak veya nihai kullanıma tahsis edecek kişiler, Gümrük Kanununun 11 inci maddesi uyarınca istenecek gerekli her türlü bilgi ve belgeyi vermekle yükümlüdür.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sz w:val="18"/>
                      <w:szCs w:val="18"/>
                      <w:lang w:eastAsia="tr-TR"/>
                    </w:rPr>
                    <w:t>(2) Eşyanın izin belgesinde belirtilen şekilde ara işleme tabi tutulmak veya nihai kullanıma tahsis edilmek üzere başka bir firmaya gönderilmesinden önce izin hak sahibi tarafından gümrük idaresine bildirimde bulunulur. Ara işlemden sonra eşyanın izin hak sahibine geri getirilmesinden önce izni veren gümrük idaresine bildirimde bulunulur.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Başlamış işlem</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GEÇİCİ MADDE 1 –</w:t>
                  </w:r>
                  <w:r w:rsidRPr="00335549">
                    <w:rPr>
                      <w:rFonts w:ascii="Times New Roman" w:eastAsia="Times New Roman" w:hAnsi="Times New Roman" w:cs="Times New Roman"/>
                      <w:sz w:val="18"/>
                      <w:szCs w:val="18"/>
                      <w:lang w:eastAsia="tr-TR"/>
                    </w:rPr>
                    <w:t xml:space="preserve"> (1) Bu Tebliğ hükümleri, Tebliğin yayımı tarihinden önce başlamış ancak henüz sonlandırılmamış olan nihai kullanım işlemleri için de uygulanır.</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Yürürlük</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13 –</w:t>
                  </w:r>
                  <w:r w:rsidRPr="00335549">
                    <w:rPr>
                      <w:rFonts w:ascii="Times New Roman" w:eastAsia="Times New Roman" w:hAnsi="Times New Roman" w:cs="Times New Roman"/>
                      <w:sz w:val="18"/>
                      <w:szCs w:val="18"/>
                      <w:lang w:eastAsia="tr-TR"/>
                    </w:rPr>
                    <w:t xml:space="preserve"> (1) Bu Tebliğ yayımı tarihinde yürürlüğe girer. </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35549">
                    <w:rPr>
                      <w:rFonts w:ascii="Times New Roman" w:eastAsia="Times New Roman" w:hAnsi="Times New Roman" w:cs="Times New Roman"/>
                      <w:b/>
                      <w:sz w:val="18"/>
                      <w:szCs w:val="18"/>
                      <w:lang w:eastAsia="tr-TR"/>
                    </w:rPr>
                    <w:t>Yürütme</w:t>
                  </w:r>
                </w:p>
                <w:p w:rsidR="00335549" w:rsidRPr="00335549" w:rsidRDefault="00335549" w:rsidP="0033554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35549">
                    <w:rPr>
                      <w:rFonts w:ascii="Times New Roman" w:eastAsia="Times New Roman" w:hAnsi="Times New Roman" w:cs="Times New Roman"/>
                      <w:b/>
                      <w:sz w:val="18"/>
                      <w:szCs w:val="18"/>
                      <w:lang w:eastAsia="tr-TR"/>
                    </w:rPr>
                    <w:t>MADDE 14 –</w:t>
                  </w:r>
                  <w:r w:rsidRPr="00335549">
                    <w:rPr>
                      <w:rFonts w:ascii="Times New Roman" w:eastAsia="Times New Roman" w:hAnsi="Times New Roman" w:cs="Times New Roman"/>
                      <w:sz w:val="18"/>
                      <w:szCs w:val="18"/>
                      <w:lang w:eastAsia="tr-TR"/>
                    </w:rPr>
                    <w:t xml:space="preserve"> (1) Bu Tebliğ hükümlerini Gümrük ve Ticaret Bakanı yürütür.</w:t>
                  </w:r>
                </w:p>
                <w:p w:rsidR="00335549" w:rsidRPr="00335549" w:rsidRDefault="00335549" w:rsidP="00335549">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335549" w:rsidRPr="00335549" w:rsidRDefault="00335549" w:rsidP="00335549">
            <w:pPr>
              <w:spacing w:line="240" w:lineRule="auto"/>
              <w:ind w:right="0"/>
              <w:jc w:val="center"/>
              <w:rPr>
                <w:rFonts w:ascii="Times New Roman" w:eastAsia="Times New Roman" w:hAnsi="Times New Roman" w:cs="Times New Roman"/>
                <w:sz w:val="20"/>
                <w:szCs w:val="20"/>
                <w:lang w:eastAsia="tr-TR"/>
              </w:rPr>
            </w:pPr>
          </w:p>
        </w:tc>
      </w:tr>
    </w:tbl>
    <w:p w:rsidR="00335549" w:rsidRPr="00335549" w:rsidRDefault="00335549" w:rsidP="00335549">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hyphenationZone w:val="425"/>
  <w:characterSpacingControl w:val="doNotCompress"/>
  <w:compat>
    <w:compatSetting w:name="compatibilityMode" w:uri="http://schemas.microsoft.com/office/word" w:val="12"/>
  </w:compat>
  <w:rsids>
    <w:rsidRoot w:val="00641C9A"/>
    <w:rsid w:val="00335549"/>
    <w:rsid w:val="0046759C"/>
    <w:rsid w:val="00641C9A"/>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1AE96-D12B-4845-AB54-AC7E53E5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33554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335549"/>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335549"/>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335549"/>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649974">
      <w:bodyDiv w:val="1"/>
      <w:marLeft w:val="0"/>
      <w:marRight w:val="0"/>
      <w:marTop w:val="0"/>
      <w:marBottom w:val="0"/>
      <w:divBdr>
        <w:top w:val="none" w:sz="0" w:space="0" w:color="auto"/>
        <w:left w:val="none" w:sz="0" w:space="0" w:color="auto"/>
        <w:bottom w:val="none" w:sz="0" w:space="0" w:color="auto"/>
        <w:right w:val="none" w:sz="0" w:space="0" w:color="auto"/>
      </w:divBdr>
      <w:divsChild>
        <w:div w:id="1147625727">
          <w:marLeft w:val="0"/>
          <w:marRight w:val="0"/>
          <w:marTop w:val="0"/>
          <w:marBottom w:val="0"/>
          <w:divBdr>
            <w:top w:val="none" w:sz="0" w:space="0" w:color="auto"/>
            <w:left w:val="none" w:sz="0" w:space="0" w:color="auto"/>
            <w:bottom w:val="none" w:sz="0" w:space="0" w:color="auto"/>
            <w:right w:val="none" w:sz="0" w:space="0" w:color="auto"/>
          </w:divBdr>
          <w:divsChild>
            <w:div w:id="1340696778">
              <w:marLeft w:val="0"/>
              <w:marRight w:val="0"/>
              <w:marTop w:val="0"/>
              <w:marBottom w:val="0"/>
              <w:divBdr>
                <w:top w:val="none" w:sz="0" w:space="0" w:color="auto"/>
                <w:left w:val="none" w:sz="0" w:space="0" w:color="auto"/>
                <w:bottom w:val="none" w:sz="0" w:space="0" w:color="auto"/>
                <w:right w:val="none" w:sz="0" w:space="0" w:color="auto"/>
              </w:divBdr>
              <w:divsChild>
                <w:div w:id="16872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1435</Words>
  <Characters>8182</Characters>
  <Application>Microsoft Office Word</Application>
  <DocSecurity>0</DocSecurity>
  <Lines>68</Lines>
  <Paragraphs>19</Paragraphs>
  <ScaleCrop>false</ScaleCrop>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2016-09-29T05:24:00Z</dcterms:created>
  <dcterms:modified xsi:type="dcterms:W3CDTF">2016-09-29T05:25:00Z</dcterms:modified>
</cp:coreProperties>
</file>