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612"/>
      </w:tblGrid>
      <w:tr w:rsidR="00985DB8" w:rsidRPr="00985DB8" w:rsidTr="00985DB8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985DB8" w:rsidRPr="00985DB8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85DB8" w:rsidRPr="00985DB8" w:rsidRDefault="00985DB8" w:rsidP="00985DB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985DB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26 Kasım 2016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85DB8" w:rsidRPr="00985DB8" w:rsidRDefault="00985DB8" w:rsidP="00985DB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985DB8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85DB8" w:rsidRPr="00985DB8" w:rsidRDefault="00985DB8" w:rsidP="00985DB8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985DB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29900</w:t>
                  </w:r>
                </w:p>
              </w:tc>
            </w:tr>
            <w:tr w:rsidR="00985DB8" w:rsidRPr="00985DB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985DB8" w:rsidRPr="00985DB8" w:rsidRDefault="00985DB8" w:rsidP="00985DB8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985DB8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985DB8" w:rsidRPr="00985DB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985DB8" w:rsidRDefault="00985DB8" w:rsidP="00985DB8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985DB8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Türkiye Cumhuriyet Merkez Bankasından:</w:t>
                  </w:r>
                </w:p>
                <w:p w:rsidR="00985DB8" w:rsidRPr="00985DB8" w:rsidRDefault="00985DB8" w:rsidP="00985DB8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bookmarkStart w:id="0" w:name="_GoBack"/>
                  <w:bookmarkEnd w:id="0"/>
                </w:p>
                <w:p w:rsidR="00985DB8" w:rsidRPr="00985DB8" w:rsidRDefault="00985DB8" w:rsidP="00985DB8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985DB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ZORUNLU KARŞILIKLAR HAKKINDA TEBLİĞ (SAYI: 2013/15)’DE </w:t>
                  </w:r>
                </w:p>
                <w:p w:rsidR="00985DB8" w:rsidRPr="00985DB8" w:rsidRDefault="00985DB8" w:rsidP="00985DB8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985DB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DEĞİŞİKLİK YAPILMASINA DAİR TEBLİĞ  </w:t>
                  </w:r>
                </w:p>
                <w:p w:rsidR="00985DB8" w:rsidRPr="00985DB8" w:rsidRDefault="00985DB8" w:rsidP="00985DB8">
                  <w:pPr>
                    <w:tabs>
                      <w:tab w:val="left" w:pos="566"/>
                    </w:tabs>
                    <w:spacing w:after="170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</w:pPr>
                  <w:r w:rsidRPr="00985DB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(SAYI: 2016/10)</w:t>
                  </w:r>
                </w:p>
                <w:p w:rsidR="00985DB8" w:rsidRPr="00985DB8" w:rsidRDefault="00985DB8" w:rsidP="00985DB8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85DB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985DB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25/12/2013 tarihli ve 28862 sayılı Resmî Gazete’de yayımlanan Zorunlu Karşılıklar Hakkında Tebliğ (Sayı: 2013/15)’in 6 ncı maddesinin ikinci fıkrası aşağıdaki şekilde değiştirilmiştir.</w:t>
                  </w:r>
                </w:p>
                <w:p w:rsidR="00985DB8" w:rsidRPr="00985DB8" w:rsidRDefault="00985DB8" w:rsidP="00985DB8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85DB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“(2) Zorunlu karşılık oranları yabancı para yükümlülükler için aşağıdaki gibidir:</w:t>
                  </w:r>
                </w:p>
                <w:p w:rsidR="00985DB8" w:rsidRPr="00985DB8" w:rsidRDefault="00985DB8" w:rsidP="00985DB8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02"/>
                    <w:gridCol w:w="1103"/>
                  </w:tblGrid>
                  <w:tr w:rsidR="00985DB8" w:rsidRPr="00985DB8">
                    <w:trPr>
                      <w:jc w:val="center"/>
                    </w:trPr>
                    <w:tc>
                      <w:tcPr>
                        <w:tcW w:w="7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-45"/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eastAsia="tr-TR"/>
                          </w:rPr>
                        </w:pPr>
                        <w:r w:rsidRPr="00985DB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  <w:szCs w:val="18"/>
                            <w:lang w:eastAsia="tr-TR"/>
                          </w:rPr>
                          <w:t>Mevduat/katılım fonu (yurt dışı bankalar mevduatı/katılım fonu hariç)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-45"/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</w:tr>
                  <w:tr w:rsidR="00985DB8" w:rsidRPr="00985DB8">
                    <w:trPr>
                      <w:jc w:val="center"/>
                    </w:trPr>
                    <w:tc>
                      <w:tcPr>
                        <w:tcW w:w="7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-4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85DB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a) Vadesiz, ihbarlı, 1 aya kadar, 3 aya kadar, 6 aya kadar ve 1 yıla kadar vadeli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85DB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%12,5</w:t>
                        </w:r>
                      </w:p>
                    </w:tc>
                  </w:tr>
                  <w:tr w:rsidR="00985DB8" w:rsidRPr="00985DB8">
                    <w:trPr>
                      <w:jc w:val="center"/>
                    </w:trPr>
                    <w:tc>
                      <w:tcPr>
                        <w:tcW w:w="7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-4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85DB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b) 1 yıl ve 1 yıldan uzun vadeli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85DB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%8,5</w:t>
                        </w:r>
                      </w:p>
                    </w:tc>
                  </w:tr>
                  <w:tr w:rsidR="00985DB8" w:rsidRPr="00985DB8">
                    <w:trPr>
                      <w:jc w:val="center"/>
                    </w:trPr>
                    <w:tc>
                      <w:tcPr>
                        <w:tcW w:w="7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-45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  <w:szCs w:val="18"/>
                            <w:lang w:eastAsia="tr-TR"/>
                          </w:rPr>
                        </w:pPr>
                        <w:r w:rsidRPr="00985DB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  <w:szCs w:val="18"/>
                            <w:lang w:eastAsia="tr-TR"/>
                          </w:rPr>
                          <w:t>Müstakrizlerin fonları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85DB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%12,5</w:t>
                        </w:r>
                      </w:p>
                    </w:tc>
                  </w:tr>
                  <w:tr w:rsidR="00985DB8" w:rsidRPr="00985DB8">
                    <w:trPr>
                      <w:jc w:val="center"/>
                    </w:trPr>
                    <w:tc>
                      <w:tcPr>
                        <w:tcW w:w="7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-45"/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val="en-US"/>
                          </w:rPr>
                        </w:pPr>
                        <w:r w:rsidRPr="00985DB8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18"/>
                            <w:szCs w:val="18"/>
                            <w:lang w:val="en-US"/>
                          </w:rPr>
                          <w:t>Diğer yükümlülükler (yurt dışı bankalar mevduatı/katılım fonu dâhil)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-45"/>
                          <w:rPr>
                            <w:rFonts w:ascii="Times New Roman" w:eastAsia="Times New Roman" w:hAnsi="Times New Roman" w:cs="Times New Roman"/>
                            <w:i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</w:tr>
                  <w:tr w:rsidR="00985DB8" w:rsidRPr="00985DB8">
                    <w:trPr>
                      <w:jc w:val="center"/>
                    </w:trPr>
                    <w:tc>
                      <w:tcPr>
                        <w:tcW w:w="7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-4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85DB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a) 1 yıla kadar (1 yıl dâhil) vadeli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85DB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%24,5</w:t>
                        </w:r>
                      </w:p>
                    </w:tc>
                  </w:tr>
                  <w:tr w:rsidR="00985DB8" w:rsidRPr="00985DB8">
                    <w:trPr>
                      <w:jc w:val="center"/>
                    </w:trPr>
                    <w:tc>
                      <w:tcPr>
                        <w:tcW w:w="7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-4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85DB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b) 2 yıla kadar (2 yıl dâhil) vadeli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85DB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%19,5</w:t>
                        </w:r>
                      </w:p>
                    </w:tc>
                  </w:tr>
                  <w:tr w:rsidR="00985DB8" w:rsidRPr="00985DB8">
                    <w:trPr>
                      <w:jc w:val="center"/>
                    </w:trPr>
                    <w:tc>
                      <w:tcPr>
                        <w:tcW w:w="7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-4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85DB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c) 3 yıla kadar (3 yıl dâhil) vadeli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85DB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%14,5</w:t>
                        </w:r>
                      </w:p>
                    </w:tc>
                  </w:tr>
                  <w:tr w:rsidR="00985DB8" w:rsidRPr="00985DB8">
                    <w:trPr>
                      <w:jc w:val="center"/>
                    </w:trPr>
                    <w:tc>
                      <w:tcPr>
                        <w:tcW w:w="7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-4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85DB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ç) 5 yıla kadar (5 yıl dâhil) vadeli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85DB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%6,5</w:t>
                        </w:r>
                      </w:p>
                    </w:tc>
                  </w:tr>
                  <w:tr w:rsidR="00985DB8" w:rsidRPr="00985DB8">
                    <w:trPr>
                      <w:jc w:val="center"/>
                    </w:trPr>
                    <w:tc>
                      <w:tcPr>
                        <w:tcW w:w="7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-4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85DB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d) 5 yıldan uzun vadeli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85DB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%4,5</w:t>
                        </w:r>
                      </w:p>
                    </w:tc>
                  </w:tr>
                </w:tbl>
                <w:p w:rsidR="00985DB8" w:rsidRPr="00985DB8" w:rsidRDefault="00985DB8" w:rsidP="00985DB8">
                  <w:pPr>
                    <w:tabs>
                      <w:tab w:val="left" w:pos="142"/>
                      <w:tab w:val="left" w:pos="709"/>
                      <w:tab w:val="left" w:pos="851"/>
                      <w:tab w:val="left" w:pos="993"/>
                      <w:tab w:val="left" w:pos="1134"/>
                    </w:tabs>
                    <w:spacing w:before="120" w:after="120" w:line="240" w:lineRule="exact"/>
                    <w:ind w:right="-7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85DB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985DB8" w:rsidRPr="00985DB8" w:rsidRDefault="00985DB8" w:rsidP="00985DB8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85DB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985DB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geçici 6 ncı maddesinin birinci fıkrası aşağıdaki şekilde değiştirilmiştir.</w:t>
                  </w:r>
                </w:p>
                <w:p w:rsidR="00985DB8" w:rsidRPr="00985DB8" w:rsidRDefault="00985DB8" w:rsidP="00985DB8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85DB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“(1) 28/8/2015 tarihi itibarıyla mevcut olan mevduat/katılım fonu dışı yabancı para yükümlülükler için zorunlu karşılık oranları vadeleri sonuna kadar aşağıdaki gibidir:</w:t>
                  </w:r>
                </w:p>
                <w:p w:rsidR="00985DB8" w:rsidRPr="00985DB8" w:rsidRDefault="00985DB8" w:rsidP="00985DB8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268"/>
                    <w:gridCol w:w="1237"/>
                  </w:tblGrid>
                  <w:tr w:rsidR="00985DB8" w:rsidRPr="00985DB8">
                    <w:trPr>
                      <w:jc w:val="center"/>
                    </w:trPr>
                    <w:tc>
                      <w:tcPr>
                        <w:tcW w:w="7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-4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85DB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a) 1 yıla kadar (1 yıl dâhil) vadeli mevduat/katılım fonu dışı yükümlülükler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85DB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%19,5</w:t>
                        </w:r>
                      </w:p>
                    </w:tc>
                  </w:tr>
                  <w:tr w:rsidR="00985DB8" w:rsidRPr="00985DB8">
                    <w:trPr>
                      <w:jc w:val="center"/>
                    </w:trPr>
                    <w:tc>
                      <w:tcPr>
                        <w:tcW w:w="7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-4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85DB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b) 2 yıla kadar (2 yıl dâhil) vadeli mevduat/katılım fonu dışı yükümlülükler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85DB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%13,5</w:t>
                        </w:r>
                      </w:p>
                    </w:tc>
                  </w:tr>
                  <w:tr w:rsidR="00985DB8" w:rsidRPr="00985DB8">
                    <w:trPr>
                      <w:jc w:val="center"/>
                    </w:trPr>
                    <w:tc>
                      <w:tcPr>
                        <w:tcW w:w="7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-4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85DB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c) 3 yıla kadar (3 yıl dâhil) vadeli mevduat/katılım fonu dışı yükümlülükler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85DB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%7,5</w:t>
                        </w:r>
                      </w:p>
                    </w:tc>
                  </w:tr>
                  <w:tr w:rsidR="00985DB8" w:rsidRPr="00985DB8">
                    <w:trPr>
                      <w:jc w:val="center"/>
                    </w:trPr>
                    <w:tc>
                      <w:tcPr>
                        <w:tcW w:w="7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-4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85DB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ç) 5 yıla kadar (5 yıl dâhil) vadeli mevduat/katılım fonu dışı yükümlülükler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85DB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%6,5</w:t>
                        </w:r>
                      </w:p>
                    </w:tc>
                  </w:tr>
                  <w:tr w:rsidR="00985DB8" w:rsidRPr="00985DB8">
                    <w:trPr>
                      <w:jc w:val="center"/>
                    </w:trPr>
                    <w:tc>
                      <w:tcPr>
                        <w:tcW w:w="7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-4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85DB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d) 5 yıldan uzun vadeli mevduat/katılım fonu dışı yükümlülükler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-45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85DB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%5,5</w:t>
                        </w:r>
                      </w:p>
                    </w:tc>
                  </w:tr>
                </w:tbl>
                <w:p w:rsidR="00985DB8" w:rsidRPr="00985DB8" w:rsidRDefault="00985DB8" w:rsidP="00985DB8">
                  <w:pPr>
                    <w:tabs>
                      <w:tab w:val="left" w:pos="142"/>
                      <w:tab w:val="left" w:pos="709"/>
                      <w:tab w:val="left" w:pos="851"/>
                      <w:tab w:val="left" w:pos="993"/>
                      <w:tab w:val="left" w:pos="1134"/>
                    </w:tabs>
                    <w:spacing w:before="120" w:after="120" w:line="240" w:lineRule="exact"/>
                    <w:ind w:right="-7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85DB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985DB8" w:rsidRPr="00985DB8" w:rsidRDefault="00985DB8" w:rsidP="00985DB8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85DB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985DB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18/11/2016 tarihinden geçerli olmak üzere yayımı tarihinde yürürlüğe girer.</w:t>
                  </w:r>
                </w:p>
                <w:p w:rsidR="00985DB8" w:rsidRPr="00985DB8" w:rsidRDefault="00985DB8" w:rsidP="00985DB8">
                  <w:pPr>
                    <w:tabs>
                      <w:tab w:val="left" w:pos="566"/>
                    </w:tabs>
                    <w:spacing w:after="200"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85DB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985DB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Türkiye Cumhuriyet Merkez Bankası Başkanı yürütür.</w:t>
                  </w:r>
                </w:p>
                <w:tbl>
                  <w:tblPr>
                    <w:tblStyle w:val="TabloKlavuzu"/>
                    <w:tblW w:w="8505" w:type="dxa"/>
                    <w:jc w:val="center"/>
                    <w:tblInd w:w="0" w:type="dxa"/>
                    <w:tblLook w:val="01E0" w:firstRow="1" w:lastRow="1" w:firstColumn="1" w:lastColumn="1" w:noHBand="0" w:noVBand="0"/>
                  </w:tblPr>
                  <w:tblGrid>
                    <w:gridCol w:w="456"/>
                    <w:gridCol w:w="3810"/>
                    <w:gridCol w:w="4239"/>
                  </w:tblGrid>
                  <w:tr w:rsidR="00985DB8" w:rsidRPr="00985DB8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b/>
                            <w:sz w:val="18"/>
                            <w:szCs w:val="18"/>
                          </w:rPr>
                          <w:t>Tebliğin Yayımlandığı Resmî Gazete'nin</w:t>
                        </w:r>
                      </w:p>
                    </w:tc>
                  </w:tr>
                  <w:tr w:rsidR="00985DB8" w:rsidRPr="00985DB8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985DB8" w:rsidRPr="00985DB8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25/12/2013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28862</w:t>
                        </w:r>
                      </w:p>
                    </w:tc>
                  </w:tr>
                  <w:tr w:rsidR="00985DB8" w:rsidRPr="00985DB8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b/>
                            <w:sz w:val="18"/>
                            <w:szCs w:val="18"/>
                          </w:rPr>
                          <w:t>Tebilğde Değişiklik Yapan Tebliğlerin Yayımlandığı Resmî Gazete'nin</w:t>
                        </w:r>
                      </w:p>
                    </w:tc>
                  </w:tr>
                  <w:tr w:rsidR="00985DB8" w:rsidRPr="00985DB8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985DB8" w:rsidRPr="00985DB8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26/3/2014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28953</w:t>
                        </w:r>
                      </w:p>
                    </w:tc>
                  </w:tr>
                  <w:tr w:rsidR="00985DB8" w:rsidRPr="00985DB8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25/7/2014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29071</w:t>
                        </w:r>
                      </w:p>
                    </w:tc>
                  </w:tr>
                  <w:tr w:rsidR="00985DB8" w:rsidRPr="00985DB8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3/1/2015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29225</w:t>
                        </w:r>
                      </w:p>
                    </w:tc>
                  </w:tr>
                  <w:tr w:rsidR="00985DB8" w:rsidRPr="00985DB8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4-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12/3/2015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29293</w:t>
                        </w:r>
                      </w:p>
                    </w:tc>
                  </w:tr>
                  <w:tr w:rsidR="00985DB8" w:rsidRPr="00985DB8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5-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30/5/2015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29371</w:t>
                        </w:r>
                      </w:p>
                    </w:tc>
                  </w:tr>
                  <w:tr w:rsidR="00985DB8" w:rsidRPr="00985DB8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6-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29/8/2015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29460</w:t>
                        </w:r>
                      </w:p>
                    </w:tc>
                  </w:tr>
                  <w:tr w:rsidR="00985DB8" w:rsidRPr="00985DB8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7-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26/12/2015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29574</w:t>
                        </w:r>
                      </w:p>
                    </w:tc>
                  </w:tr>
                  <w:tr w:rsidR="00985DB8" w:rsidRPr="00985DB8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8-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9/1/2016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29588</w:t>
                        </w:r>
                      </w:p>
                    </w:tc>
                  </w:tr>
                  <w:tr w:rsidR="00985DB8" w:rsidRPr="00985DB8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9-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10/8/2016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29797</w:t>
                        </w:r>
                      </w:p>
                    </w:tc>
                  </w:tr>
                  <w:tr w:rsidR="00985DB8" w:rsidRPr="00985DB8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10-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7/9/2016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29824</w:t>
                        </w:r>
                      </w:p>
                    </w:tc>
                  </w:tr>
                  <w:tr w:rsidR="00985DB8" w:rsidRPr="00985DB8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lastRenderedPageBreak/>
                          <w:t>11-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22/10/2016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29865</w:t>
                        </w:r>
                      </w:p>
                    </w:tc>
                  </w:tr>
                  <w:tr w:rsidR="00985DB8" w:rsidRPr="00985DB8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12-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1/11/2016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29875</w:t>
                        </w:r>
                      </w:p>
                    </w:tc>
                  </w:tr>
                  <w:tr w:rsidR="00985DB8" w:rsidRPr="00985DB8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985DB8" w:rsidRPr="00985DB8" w:rsidRDefault="00985DB8" w:rsidP="00985DB8">
                        <w:pPr>
                          <w:tabs>
                            <w:tab w:val="left" w:pos="566"/>
                          </w:tabs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13-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19/11/2016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85DB8" w:rsidRPr="00985DB8" w:rsidRDefault="00985DB8" w:rsidP="00985DB8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85DB8">
                          <w:rPr>
                            <w:sz w:val="18"/>
                            <w:szCs w:val="18"/>
                          </w:rPr>
                          <w:t>29893</w:t>
                        </w:r>
                      </w:p>
                    </w:tc>
                  </w:tr>
                </w:tbl>
                <w:p w:rsidR="00985DB8" w:rsidRPr="00985DB8" w:rsidRDefault="00985DB8" w:rsidP="00985DB8">
                  <w:pPr>
                    <w:spacing w:before="100" w:beforeAutospacing="1" w:after="100" w:afterAutospacing="1" w:line="240" w:lineRule="auto"/>
                    <w:ind w:right="0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985DB8" w:rsidRPr="00985DB8" w:rsidRDefault="00985DB8" w:rsidP="00985DB8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85DB8" w:rsidRPr="00985DB8" w:rsidRDefault="00985DB8" w:rsidP="00985DB8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/>
    <w:sectPr w:rsidR="0046759C" w:rsidSect="00A22C78">
      <w:pgSz w:w="11906" w:h="16838" w:code="125"/>
      <w:pgMar w:top="1701" w:right="1701" w:bottom="1701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273EC"/>
    <w:rsid w:val="0046759C"/>
    <w:rsid w:val="009273EC"/>
    <w:rsid w:val="00985DB8"/>
    <w:rsid w:val="00A22C78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D4642"/>
  <w15:chartTrackingRefBased/>
  <w15:docId w15:val="{84A1810B-47D9-492A-84C2-FF1FBEFD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semiHidden/>
    <w:unhideWhenUsed/>
    <w:rsid w:val="00985DB8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985DB8"/>
    <w:pPr>
      <w:spacing w:line="240" w:lineRule="auto"/>
      <w:ind w:right="0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985DB8"/>
    <w:rPr>
      <w:rFonts w:ascii="Tahoma" w:eastAsia="Times New Roman" w:hAnsi="Tahoma" w:cs="Times New Roman"/>
      <w:szCs w:val="20"/>
      <w:lang w:eastAsia="tr-TR"/>
    </w:rPr>
  </w:style>
  <w:style w:type="paragraph" w:styleId="GvdeMetni2">
    <w:name w:val="Body Text 2"/>
    <w:basedOn w:val="Normal"/>
    <w:link w:val="GvdeMetni2Char1"/>
    <w:semiHidden/>
    <w:unhideWhenUsed/>
    <w:rsid w:val="00985DB8"/>
    <w:pPr>
      <w:spacing w:after="120" w:line="480" w:lineRule="auto"/>
      <w:ind w:right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2Char">
    <w:name w:val="Gövde Metni 2 Char"/>
    <w:basedOn w:val="VarsaylanParagrafYazTipi"/>
    <w:uiPriority w:val="99"/>
    <w:semiHidden/>
    <w:rsid w:val="00985DB8"/>
  </w:style>
  <w:style w:type="paragraph" w:customStyle="1" w:styleId="Balk11pt">
    <w:name w:val="Başlık 11 pt"/>
    <w:rsid w:val="00985DB8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985DB8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rsid w:val="00985DB8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3-NormalYaz">
    <w:name w:val="3-Normal Yazı"/>
    <w:rsid w:val="00985DB8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</w:rPr>
  </w:style>
  <w:style w:type="character" w:customStyle="1" w:styleId="GvdeMetni2Char1">
    <w:name w:val="Gövde Metni 2 Char1"/>
    <w:link w:val="GvdeMetni2"/>
    <w:semiHidden/>
    <w:locked/>
    <w:rsid w:val="00985DB8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oKlavuzu">
    <w:name w:val="Table Grid"/>
    <w:basedOn w:val="NormalTablo"/>
    <w:rsid w:val="00985DB8"/>
    <w:pPr>
      <w:spacing w:line="240" w:lineRule="auto"/>
      <w:ind w:right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7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2016-11-28T05:58:00Z</dcterms:created>
  <dcterms:modified xsi:type="dcterms:W3CDTF">2016-11-28T05:58:00Z</dcterms:modified>
</cp:coreProperties>
</file>