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A9150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r>
        <w:rPr>
          <w:b/>
        </w:rPr>
        <w:t xml:space="preserve">ANONİM ŞİRKET </w:t>
      </w:r>
      <w:r w:rsidR="004E6B62">
        <w:rPr>
          <w:b/>
        </w:rPr>
        <w:t>TOPLANTI TUTANAĞI ÖRNEĞİ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b/>
        </w:rPr>
      </w:pPr>
      <w:proofErr w:type="gramStart"/>
      <w:r>
        <w:rPr>
          <w:b/>
        </w:rPr>
        <w:t>..........</w:t>
      </w:r>
      <w:proofErr w:type="gramEnd"/>
      <w:r>
        <w:rPr>
          <w:b/>
        </w:rPr>
        <w:t xml:space="preserve"> Anonim Şirketinin</w:t>
      </w:r>
      <w:proofErr w:type="gramStart"/>
      <w:r>
        <w:rPr>
          <w:b/>
        </w:rPr>
        <w:t>............</w:t>
      </w:r>
      <w:proofErr w:type="gramEnd"/>
      <w:r>
        <w:rPr>
          <w:b/>
        </w:rPr>
        <w:t xml:space="preserve"> Tarihinde Yapılan </w:t>
      </w:r>
      <w:proofErr w:type="gramStart"/>
      <w:r>
        <w:rPr>
          <w:b/>
        </w:rPr>
        <w:t>…….</w:t>
      </w:r>
      <w:proofErr w:type="gramEnd"/>
      <w:r>
        <w:rPr>
          <w:b/>
        </w:rPr>
        <w:t xml:space="preserve"> </w:t>
      </w:r>
      <w:r w:rsidR="001978AF">
        <w:rPr>
          <w:b/>
        </w:rPr>
        <w:t xml:space="preserve">Olağan/Olağanüstü </w:t>
      </w:r>
      <w:r>
        <w:rPr>
          <w:b/>
        </w:rPr>
        <w:t>Genel Kurul Toplantı Tutanağı</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     </w:t>
      </w:r>
      <w:proofErr w:type="gramStart"/>
      <w:r>
        <w:t>...............</w:t>
      </w:r>
      <w:proofErr w:type="gramEnd"/>
      <w:r>
        <w:t xml:space="preserve"> Anonim Şirketinin </w:t>
      </w:r>
      <w:proofErr w:type="gramStart"/>
      <w:r>
        <w:t>........</w:t>
      </w:r>
      <w:proofErr w:type="gramEnd"/>
      <w:r>
        <w:t xml:space="preserve"> yılına ait</w:t>
      </w:r>
      <w:r w:rsidR="001978AF">
        <w:t xml:space="preserve"> olağan/olağanüstü</w:t>
      </w:r>
      <w:r>
        <w:t xml:space="preserve"> genel kurul toplantısı </w:t>
      </w:r>
      <w:proofErr w:type="gramStart"/>
      <w:r>
        <w:t>........</w:t>
      </w:r>
      <w:proofErr w:type="gramEnd"/>
      <w:r>
        <w:t xml:space="preserve"> tarihinde, saat </w:t>
      </w:r>
      <w:proofErr w:type="gramStart"/>
      <w:r>
        <w:t>.......</w:t>
      </w:r>
      <w:proofErr w:type="gramEnd"/>
      <w:r>
        <w:t xml:space="preserve"> de, şirket merkez adresi olan </w:t>
      </w:r>
      <w:proofErr w:type="gramStart"/>
      <w:r>
        <w:t>...............</w:t>
      </w:r>
      <w:proofErr w:type="gramEnd"/>
      <w:r>
        <w:t xml:space="preserve"> </w:t>
      </w:r>
      <w:proofErr w:type="gramStart"/>
      <w:r>
        <w:t>................</w:t>
      </w:r>
      <w:proofErr w:type="gramEnd"/>
      <w:r>
        <w:t xml:space="preserve"> adresinde, /</w:t>
      </w:r>
      <w:proofErr w:type="gramStart"/>
      <w:r>
        <w:t>...............</w:t>
      </w:r>
      <w:proofErr w:type="gramEnd"/>
      <w:r>
        <w:t xml:space="preserve"> İl Gümrük ve Ticaret Müdürlüğü'nün </w:t>
      </w:r>
      <w:proofErr w:type="gramStart"/>
      <w:r>
        <w:t>........</w:t>
      </w:r>
      <w:proofErr w:type="gramEnd"/>
      <w:r>
        <w:t xml:space="preserve"> tarih ve </w:t>
      </w:r>
      <w:proofErr w:type="gramStart"/>
      <w:r>
        <w:t>..........</w:t>
      </w:r>
      <w:proofErr w:type="gramEnd"/>
      <w:r>
        <w:t xml:space="preserve"> sayılı yazılarıyla görevlendirilen Bakanlık Temsilcisi  </w:t>
      </w:r>
      <w:proofErr w:type="gramStart"/>
      <w:r>
        <w:t>.........</w:t>
      </w:r>
      <w:proofErr w:type="gramEnd"/>
      <w:r>
        <w:t>'</w:t>
      </w:r>
      <w:proofErr w:type="spellStart"/>
      <w:r>
        <w:t>ın</w:t>
      </w:r>
      <w:proofErr w:type="spellEnd"/>
      <w:r w:rsidR="00E20070">
        <w:t xml:space="preserve"> </w:t>
      </w:r>
      <w:r w:rsidR="00E20070" w:rsidRPr="00E20070">
        <w:rPr>
          <w:color w:val="FF0000"/>
        </w:rPr>
        <w:t>(katılması durumunda</w:t>
      </w:r>
      <w:r w:rsidR="00A243C4">
        <w:rPr>
          <w:color w:val="FF0000"/>
        </w:rPr>
        <w:t xml:space="preserve"> yazılacaktır</w:t>
      </w:r>
      <w:r w:rsidR="00D7547F">
        <w:rPr>
          <w:color w:val="FF0000"/>
        </w:rPr>
        <w:t>, katılmasının zorunlu olduğu durumlar için dikkat kısmındaki ilgili maddeye bakınız</w:t>
      </w:r>
      <w:r w:rsidR="00E20070" w:rsidRPr="00E20070">
        <w:rPr>
          <w:color w:val="FF0000"/>
        </w:rPr>
        <w:t>)</w:t>
      </w:r>
      <w:r w:rsidRPr="00E20070">
        <w:rPr>
          <w:color w:val="FF0000"/>
        </w:rPr>
        <w:t xml:space="preserve"> </w:t>
      </w:r>
      <w:r>
        <w:t>gözetiminde yapılmıştır.</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E20070"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color w:val="FF0000"/>
        </w:rPr>
      </w:pPr>
      <w:r>
        <w:rPr>
          <w:color w:val="FF0000"/>
        </w:rPr>
        <w:t>*</w:t>
      </w:r>
      <w:r>
        <w:rPr>
          <w:b/>
          <w:color w:val="FF0000"/>
        </w:rPr>
        <w:t>Çağrılı genel kurul olması durumunda aşağıdaki paragraf yazılmalıdır;</w:t>
      </w:r>
    </w:p>
    <w:p w:rsidR="00E20070"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Toplantıya ait çağrı; kanun ve esas sözleşmede öngörüldüğü gibi ve gündemi de ihtiva edecek şekilde, Türkiye Ticaret Sicili Gazetesinin </w:t>
      </w:r>
      <w:proofErr w:type="gramStart"/>
      <w:r>
        <w:t>.......</w:t>
      </w:r>
      <w:proofErr w:type="gramEnd"/>
      <w:r>
        <w:t xml:space="preserve"> tarih ve </w:t>
      </w:r>
      <w:proofErr w:type="gramStart"/>
      <w:r>
        <w:t>..........</w:t>
      </w:r>
      <w:proofErr w:type="gramEnd"/>
      <w:r>
        <w:t xml:space="preserve">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payın  asaleten olmak üzere toplantıda temsil edildiği ve böylece gerek Kanun gerekse esas sözleşmede öngörülen asgari toplantı nisabının mevcut olduğunun anlaşılması üzerine toplantı ........... tarafından açılarak gündemin görüşülmesine geçilmiştir.</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E20070"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b/>
        </w:rPr>
      </w:pPr>
      <w:r>
        <w:rPr>
          <w:b/>
          <w:color w:val="FF0000"/>
        </w:rPr>
        <w:t>* Çağrısız genel kurul olması durumunda ise yukarıdaki paragraf yerine aşağıdaki paragraf yazılmalıdır;</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E20070" w:rsidRDefault="00E20070" w:rsidP="00E20070">
      <w:pPr>
        <w:ind w:firstLine="567"/>
        <w:jc w:val="both"/>
      </w:pPr>
      <w:r>
        <w:t xml:space="preserve">Toplantı </w:t>
      </w:r>
      <w:proofErr w:type="spellStart"/>
      <w:r>
        <w:t>T.T.K’nun</w:t>
      </w:r>
      <w:proofErr w:type="spellEnd"/>
      <w:r>
        <w:t xml:space="preserve"> 416. Maddesine göre tüm ortakların hazır bulunduğu ve çağrısız olarak toplandığı ve toplantıya ait hiçbir itirazın olmadığı tespit edilmiştir. Hazır bulunanlar listesinin  tetkikinde, şirket paylarının  </w:t>
      </w:r>
      <w:proofErr w:type="gramStart"/>
      <w:r>
        <w:t>…….</w:t>
      </w:r>
      <w:proofErr w:type="gramEnd"/>
      <w:r>
        <w:t xml:space="preserve">toplam itibari değerinin; toplam itibari değeri ......... TL olan, </w:t>
      </w:r>
      <w:proofErr w:type="gramStart"/>
      <w:r>
        <w:t>……</w:t>
      </w:r>
      <w:proofErr w:type="gramEnd"/>
      <w:r>
        <w:t xml:space="preserve">payın temsilen, toplam itibari değeri......... TL olan </w:t>
      </w:r>
      <w:proofErr w:type="gramStart"/>
      <w:r>
        <w:t>…….</w:t>
      </w:r>
      <w:proofErr w:type="gramEnd"/>
      <w:r>
        <w:t xml:space="preserve">payın  asaleten olmak üzere toplantıda temsil edildiğinin anlaşılması üzerine toplantı ................ tarafından açılarak gündemin görüşülmesine geçilmiştir. </w:t>
      </w:r>
      <w:r>
        <w:rPr>
          <w:color w:val="FF0000"/>
        </w:rPr>
        <w:t xml:space="preserve">(Çağrısız toplanan genel kurulda gündeme oybirliği ile madde eklenebilir; aksine esas sözleşme hükmü geçersizdir.) (TTK/Madde 416/2) </w:t>
      </w:r>
    </w:p>
    <w:p w:rsidR="00E20070"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9F54CE" w:rsidRDefault="009F54CE"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1 – </w:t>
      </w:r>
      <w:r w:rsidR="00660927">
        <w:t xml:space="preserve">Toplantı açılışı yapıldı ve gündem okundu. </w:t>
      </w:r>
      <w:r>
        <w:t xml:space="preserve">Toplantı başkanlığına </w:t>
      </w:r>
      <w:proofErr w:type="gramStart"/>
      <w:r>
        <w:t>...........</w:t>
      </w:r>
      <w:proofErr w:type="spellStart"/>
      <w:proofErr w:type="gramEnd"/>
      <w:r>
        <w:t>nın</w:t>
      </w:r>
      <w:proofErr w:type="spellEnd"/>
      <w:r w:rsidR="007179B1">
        <w:t xml:space="preserve">, </w:t>
      </w:r>
      <w:r w:rsidR="00660927">
        <w:t>oy toplama memurluğuna</w:t>
      </w:r>
      <w:r w:rsidR="00E20070">
        <w:t xml:space="preserve"> </w:t>
      </w:r>
      <w:r w:rsidR="00E20070" w:rsidRPr="00E20070">
        <w:rPr>
          <w:color w:val="FF0000"/>
        </w:rPr>
        <w:t>(seçilmesi durumunda)</w:t>
      </w:r>
      <w:r w:rsidR="007179B1">
        <w:t>…………</w:t>
      </w:r>
      <w:proofErr w:type="spellStart"/>
      <w:r w:rsidR="007179B1">
        <w:t>nın</w:t>
      </w:r>
      <w:proofErr w:type="spellEnd"/>
      <w:r w:rsidR="007179B1">
        <w:t xml:space="preserve">, </w:t>
      </w:r>
      <w:r w:rsidR="00660927">
        <w:t>tutanak yazmanlığına</w:t>
      </w:r>
      <w:r w:rsidR="00E20070">
        <w:t xml:space="preserve"> </w:t>
      </w:r>
      <w:r w:rsidR="00E20070" w:rsidRPr="00E20070">
        <w:rPr>
          <w:color w:val="FF0000"/>
        </w:rPr>
        <w:t>(seçilmesi durumunda)</w:t>
      </w:r>
      <w:r w:rsidR="007179B1">
        <w:t>………………….</w:t>
      </w:r>
      <w:proofErr w:type="spellStart"/>
      <w:r w:rsidR="007179B1">
        <w:t>nın</w:t>
      </w:r>
      <w:proofErr w:type="spellEnd"/>
      <w:r w:rsidR="007179B1">
        <w:t>,</w:t>
      </w:r>
      <w:r>
        <w:t xml:space="preserve"> seçilmelerine oybirliğiyle/........... olumsuz oya karşılık </w:t>
      </w:r>
      <w:proofErr w:type="gramStart"/>
      <w:r>
        <w:t>.........</w:t>
      </w:r>
      <w:proofErr w:type="gramEnd"/>
      <w:r>
        <w:t xml:space="preserve"> oyla karar verildi.</w:t>
      </w:r>
    </w:p>
    <w:p w:rsidR="00044FE3" w:rsidRDefault="00044FE3"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044FE3" w:rsidRPr="0035441E" w:rsidRDefault="00044FE3" w:rsidP="00044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color w:val="FF0000"/>
        </w:rPr>
      </w:pPr>
      <w:r w:rsidRPr="0035441E">
        <w:rPr>
          <w:b/>
          <w:color w:val="FF0000"/>
        </w:rPr>
        <w:tab/>
      </w:r>
      <w:r w:rsidRPr="0035441E">
        <w:rPr>
          <w:color w:val="FF0000"/>
        </w:rPr>
        <w:t>*(</w:t>
      </w:r>
      <w:r w:rsidRPr="0035441E">
        <w:rPr>
          <w:b/>
          <w:color w:val="FF0000"/>
        </w:rPr>
        <w:t xml:space="preserve">Olağan genel kurul toplantısı olması durumunda; finansal tablolara, </w:t>
      </w:r>
      <w:r>
        <w:rPr>
          <w:b/>
          <w:color w:val="FF0000"/>
        </w:rPr>
        <w:t>yönetim</w:t>
      </w:r>
      <w:r w:rsidRPr="0035441E">
        <w:rPr>
          <w:b/>
          <w:color w:val="FF0000"/>
        </w:rPr>
        <w:t xml:space="preserve"> kurulunun yıllık raporuna, kârın kullanım şekline, dağıtılacak kâr ve kazanç paylarının oranlarının belirlenmesine, müdürlerin ibralarına ilişkin maddeler toplantıda görüşülmeli ve aşağıdaki 2.3.4.5. maddeler toplantı tutanağına eklenmelidir.)</w:t>
      </w:r>
    </w:p>
    <w:p w:rsidR="00044FE3" w:rsidRDefault="00044FE3"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2 - Yönetim kurulunun yıllık faaliyet raporu ve varsa denetçi tarafından verilen rapor okundu ve müzakere edildi.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3 - Bilânço ve kâr/zarar hesapları okundu ve müzakere edildi. Yapılan oylama sonucunda, bilânço ve kâr/zarar hesapları oybirliğiyle/</w:t>
      </w:r>
      <w:proofErr w:type="gramStart"/>
      <w:r>
        <w:t>....</w:t>
      </w:r>
      <w:proofErr w:type="gramEnd"/>
      <w:r>
        <w:t xml:space="preserve">olumsuz oya karşılık ...... oyla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Şirket kârından Kanun ve esas sözleşme gereği yapılması gereken miktarlar ayrıldıktan sonra kalan kısmın tamamının/bir bölümünün dağıtılmasına oybirliğiyle/</w:t>
      </w:r>
      <w:proofErr w:type="gramStart"/>
      <w:r>
        <w:t>......</w:t>
      </w:r>
      <w:proofErr w:type="gramEnd"/>
      <w:r>
        <w:t xml:space="preserve"> olumsuz oya karşılık </w:t>
      </w:r>
      <w:proofErr w:type="gramStart"/>
      <w:r>
        <w:t>.......</w:t>
      </w:r>
      <w:proofErr w:type="gramEnd"/>
      <w:r>
        <w:t xml:space="preserve"> oyla karar verildi.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Birinci temettünün </w:t>
      </w:r>
      <w:proofErr w:type="gramStart"/>
      <w:r>
        <w:t>.......</w:t>
      </w:r>
      <w:proofErr w:type="gramEnd"/>
      <w:r>
        <w:t xml:space="preserve"> tarihinde, dağıtımına karar verilen kârın ise </w:t>
      </w:r>
      <w:proofErr w:type="gramStart"/>
      <w:r>
        <w:t>.........</w:t>
      </w:r>
      <w:proofErr w:type="gramEnd"/>
      <w:r>
        <w:t xml:space="preserve"> tarihinde dağıtılmasına oybirliğiyle/</w:t>
      </w:r>
      <w:proofErr w:type="gramStart"/>
      <w:r>
        <w:t>.......</w:t>
      </w:r>
      <w:proofErr w:type="gramEnd"/>
      <w:r>
        <w:t xml:space="preserve"> olumsuz oya karşılık </w:t>
      </w:r>
      <w:proofErr w:type="gramStart"/>
      <w:r>
        <w:t>.......</w:t>
      </w:r>
      <w:proofErr w:type="gramEnd"/>
      <w:r>
        <w:t xml:space="preserve"> oyla karar verildi.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lastRenderedPageBreak/>
        <w:t>4 - Yapılan oylama sonucunda yönetim kurulu üyeleri oybirliğiyle/</w:t>
      </w:r>
      <w:proofErr w:type="gramStart"/>
      <w:r>
        <w:t>......</w:t>
      </w:r>
      <w:proofErr w:type="gramEnd"/>
      <w:r>
        <w:t xml:space="preserve"> olumsuz oya karşılık </w:t>
      </w:r>
      <w:proofErr w:type="gramStart"/>
      <w:r>
        <w:t>.......</w:t>
      </w:r>
      <w:proofErr w:type="gramEnd"/>
      <w:r>
        <w:t xml:space="preserve"> oyla ibra edildiler. Yapılan oylama sonucunda, varsa denetçi oybirliğiyle/</w:t>
      </w:r>
      <w:proofErr w:type="gramStart"/>
      <w:r>
        <w:t>......</w:t>
      </w:r>
      <w:proofErr w:type="gramEnd"/>
      <w:r>
        <w:t xml:space="preserve"> olumsuz oya karşılık </w:t>
      </w:r>
      <w:proofErr w:type="gramStart"/>
      <w:r>
        <w:t>......</w:t>
      </w:r>
      <w:proofErr w:type="gramEnd"/>
      <w:r>
        <w:t xml:space="preserve"> oyla ibra edildi.</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 xml:space="preserve">5 - Yönetim kurulu üyelerine </w:t>
      </w:r>
      <w:proofErr w:type="gramStart"/>
      <w:r>
        <w:t>........</w:t>
      </w:r>
      <w:proofErr w:type="gramEnd"/>
      <w:r>
        <w:t xml:space="preserve"> TL, varsa denetçiye </w:t>
      </w:r>
      <w:proofErr w:type="gramStart"/>
      <w:r>
        <w:t>........</w:t>
      </w:r>
      <w:proofErr w:type="gramEnd"/>
      <w:r>
        <w:t xml:space="preserve"> TL aylık/yıllık ücret ödenmesine oybirliğiyle/</w:t>
      </w:r>
      <w:proofErr w:type="gramStart"/>
      <w:r>
        <w:t>.......</w:t>
      </w:r>
      <w:proofErr w:type="gramEnd"/>
      <w:r>
        <w:t xml:space="preserve"> olumsuz oya karşılık </w:t>
      </w:r>
      <w:proofErr w:type="gramStart"/>
      <w:r>
        <w:t>.....</w:t>
      </w:r>
      <w:proofErr w:type="gramEnd"/>
      <w:r>
        <w:t xml:space="preserve"> oyla karar verildi.</w:t>
      </w:r>
    </w:p>
    <w:p w:rsidR="004E6B62" w:rsidRPr="00C76A0D" w:rsidRDefault="004E6B62" w:rsidP="00E25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olor w:val="FF0000"/>
        </w:rPr>
      </w:pPr>
      <w:r>
        <w:t xml:space="preserve">6 - </w:t>
      </w:r>
      <w:r w:rsidRPr="00C76A0D">
        <w:rPr>
          <w:color w:val="FF0000"/>
        </w:rPr>
        <w:t xml:space="preserve">Şirketin yönetim kurulu üyeliklerine </w:t>
      </w:r>
      <w:proofErr w:type="gramStart"/>
      <w:r w:rsidRPr="00C76A0D">
        <w:rPr>
          <w:color w:val="FF0000"/>
        </w:rPr>
        <w:t>......</w:t>
      </w:r>
      <w:proofErr w:type="gramEnd"/>
      <w:r w:rsidRPr="00C76A0D">
        <w:rPr>
          <w:color w:val="FF0000"/>
        </w:rPr>
        <w:t xml:space="preserve"> yıl süreyle görev yapmak üzere </w:t>
      </w:r>
      <w:proofErr w:type="gramStart"/>
      <w:r w:rsidR="00E25B37" w:rsidRPr="00C76A0D">
        <w:rPr>
          <w:color w:val="FF0000"/>
        </w:rPr>
        <w:t>……………..</w:t>
      </w:r>
      <w:proofErr w:type="gramEnd"/>
      <w:r w:rsidR="00E25B37" w:rsidRPr="00C76A0D">
        <w:rPr>
          <w:color w:val="FF0000"/>
        </w:rPr>
        <w:t xml:space="preserve"> uyruklu </w:t>
      </w:r>
      <w:proofErr w:type="gramStart"/>
      <w:r w:rsidR="00E25B37" w:rsidRPr="00C76A0D">
        <w:rPr>
          <w:color w:val="FF0000"/>
        </w:rPr>
        <w:t>………………………………………………………</w:t>
      </w:r>
      <w:proofErr w:type="gramEnd"/>
      <w:r w:rsidR="00E25B37" w:rsidRPr="00C76A0D">
        <w:rPr>
          <w:color w:val="FF0000"/>
        </w:rPr>
        <w:t xml:space="preserve">adresinde ikamet eden …………….. </w:t>
      </w:r>
      <w:r w:rsidR="00E25B37" w:rsidRPr="00C76A0D">
        <w:rPr>
          <w:b/>
          <w:color w:val="FF0000"/>
        </w:rPr>
        <w:t>,</w:t>
      </w:r>
      <w:r w:rsidR="00E25B37" w:rsidRPr="00C76A0D">
        <w:rPr>
          <w:color w:val="FF0000"/>
        </w:rPr>
        <w:t xml:space="preserve"> </w:t>
      </w:r>
      <w:proofErr w:type="gramStart"/>
      <w:r w:rsidR="00E25B37" w:rsidRPr="00C76A0D">
        <w:rPr>
          <w:color w:val="FF0000"/>
        </w:rPr>
        <w:t>………</w:t>
      </w:r>
      <w:proofErr w:type="gramEnd"/>
      <w:r w:rsidR="00E25B37" w:rsidRPr="00C76A0D">
        <w:rPr>
          <w:color w:val="FF0000"/>
        </w:rPr>
        <w:t xml:space="preserve"> uyruklu </w:t>
      </w:r>
      <w:proofErr w:type="gramStart"/>
      <w:r w:rsidR="00E25B37" w:rsidRPr="00C76A0D">
        <w:rPr>
          <w:color w:val="FF0000"/>
        </w:rPr>
        <w:t>...........................................................................</w:t>
      </w:r>
      <w:proofErr w:type="gramEnd"/>
      <w:r w:rsidR="00E25B37" w:rsidRPr="00C76A0D">
        <w:rPr>
          <w:color w:val="FF0000"/>
        </w:rPr>
        <w:t xml:space="preserve">adresinde ikamet eden …..…………… </w:t>
      </w:r>
      <w:r w:rsidR="00E25B37" w:rsidRPr="00C76A0D">
        <w:rPr>
          <w:b/>
          <w:color w:val="FF0000"/>
        </w:rPr>
        <w:t>,</w:t>
      </w:r>
      <w:r w:rsidR="00E25B37" w:rsidRPr="00C76A0D">
        <w:rPr>
          <w:color w:val="FF0000"/>
        </w:rPr>
        <w:t xml:space="preserve"> </w:t>
      </w:r>
      <w:proofErr w:type="gramStart"/>
      <w:r w:rsidR="00E25B37" w:rsidRPr="00C76A0D">
        <w:rPr>
          <w:color w:val="FF0000"/>
        </w:rPr>
        <w:t>……………………………..</w:t>
      </w:r>
      <w:proofErr w:type="gramEnd"/>
      <w:r w:rsidR="00E25B37" w:rsidRPr="00C76A0D">
        <w:rPr>
          <w:color w:val="FF0000"/>
        </w:rPr>
        <w:t xml:space="preserve"> uyruklu </w:t>
      </w:r>
      <w:proofErr w:type="gramStart"/>
      <w:r w:rsidR="00E25B37" w:rsidRPr="00C76A0D">
        <w:rPr>
          <w:color w:val="FF0000"/>
        </w:rPr>
        <w:t>...............................................................................................</w:t>
      </w:r>
      <w:proofErr w:type="gramEnd"/>
      <w:r w:rsidR="00E25B37" w:rsidRPr="00C76A0D">
        <w:rPr>
          <w:color w:val="FF0000"/>
        </w:rPr>
        <w:t>adresinde ikamet eden …………………’</w:t>
      </w:r>
      <w:proofErr w:type="spellStart"/>
      <w:r w:rsidR="00E25B37" w:rsidRPr="00C76A0D">
        <w:rPr>
          <w:color w:val="FF0000"/>
        </w:rPr>
        <w:t>ın</w:t>
      </w:r>
      <w:proofErr w:type="spellEnd"/>
      <w:r w:rsidRPr="00C76A0D">
        <w:rPr>
          <w:color w:val="FF0000"/>
        </w:rPr>
        <w:t xml:space="preserve"> seçilmelerine oybirliğiyle/.......olumsuz oya karşılık………. oyla karar verildi.</w:t>
      </w:r>
      <w:r w:rsidR="00E25B37" w:rsidRPr="00C76A0D">
        <w:rPr>
          <w:color w:val="FF0000"/>
        </w:rPr>
        <w:t xml:space="preserve"> </w:t>
      </w:r>
    </w:p>
    <w:p w:rsidR="00E25B37" w:rsidRDefault="00E25B37" w:rsidP="00E25B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E20070" w:rsidRDefault="00D7547F"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rsidRPr="00D7547F">
        <w:t>7</w:t>
      </w:r>
      <w:r w:rsidR="00E20070" w:rsidRPr="007C7B0D">
        <w:rPr>
          <w:b/>
        </w:rPr>
        <w:t>-</w:t>
      </w:r>
      <w:r w:rsidR="00E20070" w:rsidRPr="00D7547F">
        <w:rPr>
          <w:color w:val="FF0000"/>
        </w:rPr>
        <w:t xml:space="preserve">(Denetime tabi şirketlerde) Denetçiliğe </w:t>
      </w:r>
      <w:proofErr w:type="gramStart"/>
      <w:r w:rsidR="001D249F">
        <w:rPr>
          <w:color w:val="FF0000"/>
        </w:rPr>
        <w:t>(</w:t>
      </w:r>
      <w:proofErr w:type="gramEnd"/>
      <w:r w:rsidR="001D249F">
        <w:rPr>
          <w:color w:val="FF0000"/>
        </w:rPr>
        <w:t xml:space="preserve">… ) </w:t>
      </w:r>
      <w:r w:rsidR="004A4399">
        <w:rPr>
          <w:color w:val="FF0000"/>
        </w:rPr>
        <w:t>faaliyet dönemi için</w:t>
      </w:r>
      <w:bookmarkStart w:id="0" w:name="_GoBack"/>
      <w:bookmarkEnd w:id="0"/>
      <w:r w:rsidR="001D249F">
        <w:rPr>
          <w:color w:val="FF0000"/>
        </w:rPr>
        <w:t xml:space="preserve"> (Not; faaliyet döneminin 4. Ayına kadar her halde görevini yerine getireceği faaliyet dönemi bitmeden seçilmelidir. Geçmiş dönemlere ilişkin veya 1 faaliyet döneminden fazla süre için seçilemez)</w:t>
      </w:r>
      <w:r w:rsidR="00E20070" w:rsidRPr="00D7547F">
        <w:rPr>
          <w:color w:val="FF0000"/>
        </w:rPr>
        <w:t xml:space="preserve"> </w:t>
      </w:r>
      <w:proofErr w:type="gramStart"/>
      <w:r w:rsidR="00B27174">
        <w:rPr>
          <w:color w:val="FF0000"/>
        </w:rPr>
        <w:t>…………….</w:t>
      </w:r>
      <w:proofErr w:type="gramEnd"/>
      <w:r w:rsidR="00B27174">
        <w:rPr>
          <w:color w:val="FF0000"/>
        </w:rPr>
        <w:t xml:space="preserve"> TC/VERGİ NUMARALI</w:t>
      </w:r>
      <w:r w:rsidR="001D249F">
        <w:rPr>
          <w:color w:val="FF0000"/>
        </w:rPr>
        <w:t xml:space="preserve"> </w:t>
      </w:r>
      <w:proofErr w:type="gramStart"/>
      <w:r w:rsidR="001D249F">
        <w:rPr>
          <w:color w:val="FF0000"/>
        </w:rPr>
        <w:t>……</w:t>
      </w:r>
      <w:r w:rsidR="00B27174">
        <w:rPr>
          <w:color w:val="FF0000"/>
        </w:rPr>
        <w:t>…………………….</w:t>
      </w:r>
      <w:proofErr w:type="gramEnd"/>
      <w:r w:rsidR="00B27174">
        <w:rPr>
          <w:color w:val="FF0000"/>
        </w:rPr>
        <w:t xml:space="preserve">adresinde ikamet eden/faaliyet gösteren </w:t>
      </w:r>
      <w:r w:rsidR="00E20070" w:rsidRPr="00D7547F">
        <w:rPr>
          <w:color w:val="FF0000"/>
        </w:rPr>
        <w:t>.............</w:t>
      </w:r>
      <w:r w:rsidR="001D249F">
        <w:rPr>
          <w:color w:val="FF0000"/>
        </w:rPr>
        <w:t>.........</w:t>
      </w:r>
      <w:r w:rsidR="00E20070" w:rsidRPr="00D7547F">
        <w:rPr>
          <w:color w:val="FF0000"/>
        </w:rPr>
        <w:t>.'</w:t>
      </w:r>
      <w:proofErr w:type="spellStart"/>
      <w:r w:rsidR="00E20070" w:rsidRPr="00D7547F">
        <w:rPr>
          <w:color w:val="FF0000"/>
        </w:rPr>
        <w:t>nın</w:t>
      </w:r>
      <w:proofErr w:type="spellEnd"/>
      <w:r w:rsidR="001D249F">
        <w:rPr>
          <w:color w:val="FF0000"/>
        </w:rPr>
        <w:t xml:space="preserve"> seçilmesine </w:t>
      </w:r>
      <w:r w:rsidR="00E20070" w:rsidRPr="00D7547F">
        <w:rPr>
          <w:color w:val="FF0000"/>
        </w:rPr>
        <w:t xml:space="preserve">oybirliğiyle/........ olumsuz oya karşılık </w:t>
      </w:r>
      <w:proofErr w:type="gramStart"/>
      <w:r w:rsidR="00E20070" w:rsidRPr="00D7547F">
        <w:rPr>
          <w:color w:val="FF0000"/>
        </w:rPr>
        <w:t>……….</w:t>
      </w:r>
      <w:proofErr w:type="gramEnd"/>
      <w:r w:rsidR="00E20070" w:rsidRPr="00D7547F">
        <w:rPr>
          <w:color w:val="FF0000"/>
        </w:rPr>
        <w:t>oyla karar verildi.</w:t>
      </w:r>
    </w:p>
    <w:p w:rsidR="004E6B62" w:rsidRDefault="00D7547F"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pPr>
      <w:r>
        <w:t>8</w:t>
      </w:r>
      <w:r w:rsidR="004E6B62">
        <w:t xml:space="preserve">- </w:t>
      </w:r>
      <w:r w:rsidR="004E6B62" w:rsidRPr="00C76A0D">
        <w:rPr>
          <w:color w:val="FF0000"/>
        </w:rPr>
        <w:t>(Gündemde olmak kaydıyla görüşülüp karara bağlanan sair konular yazılır.)</w:t>
      </w:r>
    </w:p>
    <w:p w:rsidR="00964631" w:rsidRDefault="00964631"/>
    <w:p w:rsidR="00660927" w:rsidRDefault="00660927"/>
    <w:p w:rsidR="00660927" w:rsidRDefault="00660927">
      <w:r>
        <w:t>DİVAN HEYETİ İMZA</w:t>
      </w:r>
    </w:p>
    <w:p w:rsidR="00660927" w:rsidRPr="00660927" w:rsidRDefault="00660927">
      <w:pPr>
        <w:rPr>
          <w:b/>
        </w:rPr>
      </w:pPr>
    </w:p>
    <w:p w:rsidR="00E20070" w:rsidRPr="004A06DC" w:rsidRDefault="00E20070" w:rsidP="00E20070">
      <w:pPr>
        <w:jc w:val="both"/>
      </w:pPr>
      <w:r>
        <w:t xml:space="preserve">Toplantı </w:t>
      </w:r>
      <w:proofErr w:type="gramStart"/>
      <w:r>
        <w:t xml:space="preserve">Başkanı       </w:t>
      </w:r>
      <w:r>
        <w:rPr>
          <w:color w:val="FF0000"/>
        </w:rPr>
        <w:t>Tutanak</w:t>
      </w:r>
      <w:proofErr w:type="gramEnd"/>
      <w:r>
        <w:rPr>
          <w:color w:val="FF0000"/>
        </w:rPr>
        <w:t xml:space="preserve"> Yazmanı      </w:t>
      </w:r>
      <w:r w:rsidRPr="0035441E">
        <w:rPr>
          <w:color w:val="FF0000"/>
        </w:rPr>
        <w:t xml:space="preserve">Oy Toplama Memuru   </w:t>
      </w:r>
      <w:r>
        <w:rPr>
          <w:color w:val="FF0000"/>
        </w:rPr>
        <w:t xml:space="preserve">    Bakanlık Temsilcisi</w:t>
      </w:r>
      <w:r w:rsidRPr="0035441E">
        <w:rPr>
          <w:color w:val="FF0000"/>
        </w:rPr>
        <w:t xml:space="preserve">             </w:t>
      </w:r>
    </w:p>
    <w:p w:rsidR="00E20070" w:rsidRDefault="00E20070" w:rsidP="00E20070">
      <w:pPr>
        <w:jc w:val="both"/>
        <w:rPr>
          <w:b/>
          <w:color w:val="C0504D" w:themeColor="accent2"/>
        </w:rPr>
      </w:pPr>
      <w:r>
        <w:tab/>
        <w:t>İMZA</w:t>
      </w:r>
      <w:r>
        <w:tab/>
      </w:r>
      <w:r>
        <w:tab/>
        <w:t xml:space="preserve">       </w:t>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proofErr w:type="spellStart"/>
      <w:r w:rsidRPr="0035441E">
        <w:rPr>
          <w:color w:val="FF0000"/>
        </w:rPr>
        <w:t>İMZA</w:t>
      </w:r>
      <w:proofErr w:type="spellEnd"/>
      <w:r w:rsidRPr="0035441E">
        <w:rPr>
          <w:color w:val="FF0000"/>
        </w:rPr>
        <w:tab/>
      </w:r>
      <w:r w:rsidRPr="0035441E">
        <w:rPr>
          <w:color w:val="FF0000"/>
        </w:rPr>
        <w:tab/>
      </w:r>
      <w:r w:rsidRPr="0035441E">
        <w:rPr>
          <w:color w:val="FF0000"/>
        </w:rPr>
        <w:tab/>
      </w:r>
      <w:r>
        <w:rPr>
          <w:color w:val="FF0000"/>
        </w:rPr>
        <w:t xml:space="preserve">  </w:t>
      </w:r>
      <w:proofErr w:type="spellStart"/>
      <w:r>
        <w:rPr>
          <w:color w:val="FF0000"/>
        </w:rPr>
        <w:t>İMZA</w:t>
      </w:r>
      <w:proofErr w:type="spellEnd"/>
    </w:p>
    <w:p w:rsidR="00E20070" w:rsidRPr="0035441E" w:rsidRDefault="00E20070" w:rsidP="00E20070">
      <w:pPr>
        <w:jc w:val="both"/>
        <w:rPr>
          <w:b/>
          <w:color w:val="C0504D" w:themeColor="accent2"/>
        </w:rPr>
      </w:pPr>
      <w:r>
        <w:rPr>
          <w:b/>
          <w:color w:val="C0504D" w:themeColor="accent2"/>
        </w:rPr>
        <w:tab/>
      </w:r>
      <w:r>
        <w:rPr>
          <w:b/>
          <w:color w:val="C0504D" w:themeColor="accent2"/>
        </w:rPr>
        <w:tab/>
        <w:t xml:space="preserve">      </w:t>
      </w:r>
      <w:r>
        <w:rPr>
          <w:color w:val="FF0000"/>
        </w:rPr>
        <w:t xml:space="preserve">(seçilmesi durumunda)    </w:t>
      </w:r>
      <w:r w:rsidRPr="0035441E">
        <w:rPr>
          <w:color w:val="FF0000"/>
        </w:rPr>
        <w:t>(seçilmesi durumunda</w:t>
      </w:r>
      <w:r>
        <w:rPr>
          <w:b/>
          <w:color w:val="C0504D" w:themeColor="accent2"/>
        </w:rPr>
        <w:t>)</w:t>
      </w:r>
      <w:r w:rsidRPr="0035441E">
        <w:rPr>
          <w:b/>
          <w:color w:val="C0504D" w:themeColor="accent2"/>
        </w:rPr>
        <w:t xml:space="preserve"> </w:t>
      </w:r>
      <w:r>
        <w:rPr>
          <w:b/>
          <w:color w:val="C0504D" w:themeColor="accent2"/>
        </w:rPr>
        <w:t xml:space="preserve">   </w:t>
      </w:r>
      <w:r w:rsidRPr="00E20070">
        <w:rPr>
          <w:color w:val="FF0000"/>
        </w:rPr>
        <w:t>(seçilmesi durumunda)</w:t>
      </w:r>
      <w:r w:rsidRPr="00E20070">
        <w:rPr>
          <w:b/>
          <w:color w:val="FF0000"/>
        </w:rPr>
        <w:t xml:space="preserve">                 </w:t>
      </w:r>
    </w:p>
    <w:p w:rsidR="00E20070" w:rsidRPr="0035441E" w:rsidRDefault="00E20070" w:rsidP="00E20070">
      <w:pPr>
        <w:jc w:val="both"/>
        <w:rPr>
          <w:b/>
          <w:color w:val="C0504D" w:themeColor="accent2"/>
        </w:rPr>
      </w:pPr>
    </w:p>
    <w:p w:rsidR="00E25CDE" w:rsidRDefault="00E25CDE" w:rsidP="00660927">
      <w:pPr>
        <w:jc w:val="both"/>
        <w:rPr>
          <w:b/>
          <w:color w:val="C0504D" w:themeColor="accent2"/>
        </w:rPr>
      </w:pPr>
    </w:p>
    <w:p w:rsidR="00E25CDE" w:rsidRDefault="00E25CDE" w:rsidP="00660927">
      <w:pPr>
        <w:jc w:val="both"/>
        <w:rPr>
          <w:b/>
          <w:color w:val="C0504D" w:themeColor="accent2"/>
        </w:rPr>
      </w:pPr>
    </w:p>
    <w:p w:rsidR="00F670F8" w:rsidRPr="00E25CDE" w:rsidRDefault="00E25CDE" w:rsidP="00660927">
      <w:pPr>
        <w:jc w:val="both"/>
        <w:rPr>
          <w:b/>
          <w:color w:val="C0504D" w:themeColor="accent2"/>
        </w:rPr>
      </w:pPr>
      <w:r w:rsidRPr="00E25CDE">
        <w:rPr>
          <w:b/>
          <w:color w:val="C0504D" w:themeColor="accent2"/>
        </w:rPr>
        <w:t>DİKKAT!</w:t>
      </w:r>
    </w:p>
    <w:p w:rsidR="00E25CDE" w:rsidRDefault="00E25CDE" w:rsidP="00660927">
      <w:pPr>
        <w:jc w:val="both"/>
        <w:rPr>
          <w:b/>
        </w:rPr>
      </w:pPr>
    </w:p>
    <w:p w:rsidR="00660927" w:rsidRPr="00AE1F6E" w:rsidRDefault="00F670F8" w:rsidP="00660927">
      <w:pPr>
        <w:jc w:val="both"/>
      </w:pPr>
      <w:r w:rsidRPr="00AE1F6E">
        <w:t xml:space="preserve">*Tutanak Yönetmeliğin 26 </w:t>
      </w:r>
      <w:proofErr w:type="spellStart"/>
      <w:r w:rsidRPr="00AE1F6E">
        <w:t>ncı</w:t>
      </w:r>
      <w:proofErr w:type="spellEnd"/>
      <w:r w:rsidRPr="00AE1F6E">
        <w:t xml:space="preserve"> maddesinin birinci fıkrasında belirtildiği şekilde imzalanır.</w:t>
      </w:r>
      <w:r w:rsidR="00660927" w:rsidRPr="00AE1F6E">
        <w:t xml:space="preserve">        </w:t>
      </w:r>
    </w:p>
    <w:p w:rsidR="00AE1F6E" w:rsidRDefault="00AE1F6E" w:rsidP="00660927">
      <w:pPr>
        <w:jc w:val="both"/>
        <w:rPr>
          <w:b/>
        </w:rPr>
      </w:pPr>
    </w:p>
    <w:p w:rsidR="00AE1F6E" w:rsidRDefault="00AE1F6E" w:rsidP="00AE1F6E">
      <w:r w:rsidRPr="00673100">
        <w:t>*</w:t>
      </w:r>
      <w:r w:rsidRPr="00AE1F6E">
        <w:t>Genel kurullar olağan ve olağanüstü toplanır. Olağan toplantı her faaliyet dönemi sonundan itibaren üç ay içinde yapılır. Bu toplantılarda, organların seçimine, finansal tablolara, yönetim kurulunun yıllık raporuna, kârın kullanım şekline, dağıtılacak kâr ve kazanç paylarının oranlarının belirlenmesine, yönetim kurulu üyelerinin ibraları ile faaliyet dönemini ilgilendiren ve gerekli görülen diğer konulara ilişkin müzakere yapılır, karar alınır</w:t>
      </w:r>
      <w:r>
        <w:t xml:space="preserve">. </w:t>
      </w:r>
      <w:r w:rsidRPr="00AE1F6E">
        <w:t>Gerektiği takdirde genel kurul olağa</w:t>
      </w:r>
      <w:r w:rsidR="00D7547F">
        <w:t xml:space="preserve">nüstü toplantıya çağrılır. (TTK </w:t>
      </w:r>
      <w:r w:rsidRPr="00AE1F6E">
        <w:t>Madde 409)</w:t>
      </w:r>
      <w:r>
        <w:t xml:space="preserve"> </w:t>
      </w:r>
      <w:proofErr w:type="gramStart"/>
      <w:r>
        <w:t>(</w:t>
      </w:r>
      <w:proofErr w:type="gramEnd"/>
      <w:r>
        <w:t xml:space="preserve">Faaliyet dönemi sonunda yapılan </w:t>
      </w:r>
      <w:r w:rsidRPr="00A872A1">
        <w:rPr>
          <w:b/>
        </w:rPr>
        <w:t xml:space="preserve">olağan </w:t>
      </w:r>
      <w:r>
        <w:t xml:space="preserve">genel kuruldan sonra yıl içerisinde görüşülecek her husus için genel kurullar </w:t>
      </w:r>
      <w:r w:rsidRPr="00EB5BB8">
        <w:rPr>
          <w:b/>
        </w:rPr>
        <w:t xml:space="preserve">olağanüstü </w:t>
      </w:r>
      <w:r>
        <w:t xml:space="preserve">toplanır. Olağanüstü toplanan genel kurulda </w:t>
      </w:r>
      <w:r w:rsidRPr="00AE1F6E">
        <w:t>finansal tablolara, yönetim kurulunun yıllık raporuna, kârın kullanım şekline, dağıtılacak kâr ve kazanç paylarının oranlarının belirlenmesine, yönetim kurulu üyelerinin ibraları</w:t>
      </w:r>
      <w:r>
        <w:t>na ilişkin maddeler görüşülmez</w:t>
      </w:r>
      <w:proofErr w:type="gramStart"/>
      <w:r>
        <w:t>)</w:t>
      </w:r>
      <w:proofErr w:type="gramEnd"/>
      <w:r>
        <w:t xml:space="preserve"> </w:t>
      </w:r>
    </w:p>
    <w:p w:rsidR="00EB3002" w:rsidRDefault="00EB3002" w:rsidP="00AE1F6E"/>
    <w:p w:rsidR="00803EA1" w:rsidRPr="00803EA1" w:rsidRDefault="00EB3002" w:rsidP="00803EA1">
      <w:r>
        <w:t xml:space="preserve">*Genel kurul toplantı tutanağında görev taksimi görüşülemez, yönetim kurulunun seçimi yapılır ancak eğer isteniyorsa yönetim kurulu kararı ile 1 yıl süresince görev taksimi </w:t>
      </w:r>
      <w:r w:rsidRPr="00803EA1">
        <w:t>yapılabilir.</w:t>
      </w:r>
      <w:r w:rsidR="00803EA1" w:rsidRPr="00803EA1">
        <w:t xml:space="preserve"> </w:t>
      </w:r>
      <w:r w:rsidR="005E7993">
        <w:t xml:space="preserve">Bu açıdan </w:t>
      </w:r>
      <w:r w:rsidR="00803EA1" w:rsidRPr="00803EA1">
        <w:t>TTK</w:t>
      </w:r>
      <w:r w:rsidR="00D7547F">
        <w:t xml:space="preserve"> Madde</w:t>
      </w:r>
      <w:r w:rsidR="00803EA1" w:rsidRPr="00803EA1">
        <w:t xml:space="preserve"> 366</w:t>
      </w:r>
      <w:r w:rsidR="00803EA1">
        <w:t>/1’de</w:t>
      </w:r>
      <w:r w:rsidR="005E7993">
        <w:t xml:space="preserve"> yer alan </w:t>
      </w:r>
      <w:r w:rsidR="00803EA1">
        <w:t>“</w:t>
      </w:r>
      <w:r w:rsidR="00803EA1" w:rsidRPr="00803EA1">
        <w:t>Yönetim kurulu her yıl üyeleri arasından bir başkan ve bulunmadığı zamanlarda ona vekâlet etmek üzere, en az bir başkan vekili seçer. Esas sözleşmede, başkanın ve başkan vekilinin veya bunlardan birinin, genel kurul tarafından seçilmesi öngörülebilir</w:t>
      </w:r>
      <w:r w:rsidR="00803EA1">
        <w:t xml:space="preserve">” </w:t>
      </w:r>
      <w:r w:rsidR="005E7993">
        <w:t xml:space="preserve">maddesi dikkate alınmalıdır. </w:t>
      </w:r>
    </w:p>
    <w:p w:rsidR="00AE1F6E" w:rsidRDefault="00AE1F6E" w:rsidP="00AE1F6E">
      <w:pPr>
        <w:jc w:val="both"/>
      </w:pPr>
    </w:p>
    <w:p w:rsidR="00AE1F6E" w:rsidRDefault="00AE1F6E" w:rsidP="00AE1F6E">
      <w:pPr>
        <w:jc w:val="both"/>
      </w:pPr>
      <w:r w:rsidRPr="00CD3382">
        <w:t>*</w:t>
      </w:r>
      <w:r>
        <w:t xml:space="preserve">Hazır bulunanlar cetvelinde vekaleten katılım varsa vekaletnamede Genel Kurul yılı, tarihi ve temsil edilen hisse adedi ve miktarı belirtilmelidir. Hazır bulunan cetveli divan heyeti tarafından imzalanmalıdır. </w:t>
      </w:r>
      <w:r w:rsidR="00531029">
        <w:t xml:space="preserve">Şirketin mevcut yönetim kurulu başkanı genel kurul toplantısından önce hazır bulunanlar listesini hazırlama ve imzalamakla yükümlüdür. Ancak yönetim kurulu başkanın bulunmadığı durumlarda yönetim kurulu başkanının bir </w:t>
      </w:r>
      <w:hyperlink r:id="rId9" w:history="1">
        <w:r w:rsidR="00531029" w:rsidRPr="00EB3002">
          <w:rPr>
            <w:rStyle w:val="Kpr"/>
          </w:rPr>
          <w:t xml:space="preserve">yetki </w:t>
        </w:r>
        <w:r w:rsidR="00EB3002" w:rsidRPr="00EB3002">
          <w:rPr>
            <w:rStyle w:val="Kpr"/>
          </w:rPr>
          <w:t>yazısı</w:t>
        </w:r>
      </w:hyperlink>
      <w:r w:rsidR="00531029">
        <w:t xml:space="preserve"> ile yetkilendirdiği başka bir yönetim kurulu üyesi hazır bulunanlar listesini hazırlar ve imzalar. Görev taksimi yapmayan anonim şirketlerde ise hazır bulunanlar listesi tüm yönetim kurulu üyeleri tarafından imzalanmalıdır. </w:t>
      </w:r>
      <w:r w:rsidR="00531029" w:rsidRPr="00E20070">
        <w:t>(TTK Madde 417/3</w:t>
      </w:r>
      <w:r w:rsidR="00E20070" w:rsidRPr="00E20070">
        <w:t>)</w:t>
      </w:r>
    </w:p>
    <w:p w:rsidR="00E0042F" w:rsidRDefault="00AE1F6E" w:rsidP="00AE1F6E">
      <w:r>
        <w:t>*</w:t>
      </w:r>
      <w:r w:rsidRPr="00AE1F6E">
        <w:t xml:space="preserve">TTK </w:t>
      </w:r>
      <w:r w:rsidR="00D7547F">
        <w:t>Madde 416’ya</w:t>
      </w:r>
      <w:r w:rsidRPr="00AE1F6E">
        <w:t xml:space="preserve"> istinaden çağrısız genel kurullarda </w:t>
      </w:r>
      <w:r>
        <w:t>b</w:t>
      </w:r>
      <w:r w:rsidRPr="00AE1F6E">
        <w:t>ütün payların sahipleri veya temsilcileri, aralarından biri itirazda bulunmadığı takdirde, genel kurula katılmaya ve genel kurul toplantılarının yapılmasına ilişkin hükümler saklı kalmak şartıyla, çağrıya ilişkin usule uyulmaksızın, genel kurul olarak toplanabilir ve bu toplantı nisabı var</w:t>
      </w:r>
      <w:r w:rsidR="00D7547F">
        <w:t xml:space="preserve"> </w:t>
      </w:r>
      <w:r w:rsidRPr="00AE1F6E">
        <w:t xml:space="preserve">olduğu sürece karar alabilirler. Çağrısız toplanan genel kurulda, gündeme oybirliği ile madde eklenebilir; aksine esas sözleşme hükmü geçersizdir. </w:t>
      </w:r>
    </w:p>
    <w:p w:rsidR="00D7547F" w:rsidRPr="00AE1F6E" w:rsidRDefault="00D7547F" w:rsidP="00AE1F6E"/>
    <w:p w:rsidR="00E0042F" w:rsidRDefault="00E0042F" w:rsidP="00E0042F">
      <w:pPr>
        <w:jc w:val="both"/>
      </w:pPr>
      <w:r>
        <w:t xml:space="preserve">*Tek pay sahipli anonim şirketlerde toplantıda hazır bulunan pay sahibinin veya temsilcisinin toplantı tutanağını imzalaması zorunludur. </w:t>
      </w:r>
    </w:p>
    <w:p w:rsidR="00E20070" w:rsidRDefault="00E20070" w:rsidP="00E0042F">
      <w:pPr>
        <w:jc w:val="both"/>
      </w:pPr>
    </w:p>
    <w:p w:rsidR="00AE1F6E"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t xml:space="preserve">*Genel Kurul Toplantı Tutanağı metninde kırmızıyla işaretlenen bölümler dikkat çekmek amacıyla belirtilmiş olup toplantı tutanağına yazılmayacaktır. </w:t>
      </w:r>
    </w:p>
    <w:p w:rsidR="00E20070" w:rsidRDefault="00E20070" w:rsidP="00E20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p>
    <w:p w:rsidR="00975532" w:rsidRDefault="00975532" w:rsidP="00AE1F6E">
      <w:pPr>
        <w:jc w:val="both"/>
      </w:pPr>
      <w:r w:rsidRPr="00164EBD">
        <w:t>*</w:t>
      </w:r>
      <w:r w:rsidR="00164EBD" w:rsidRPr="00164EBD">
        <w:rPr>
          <w:b/>
        </w:rPr>
        <w:t>1)</w:t>
      </w:r>
      <w:r w:rsidR="00F0743D">
        <w:t>Aşağıda sayılan genel kurul toplantılarında ve bunların ertelenmesi halinde yapılacak ikinci toplantılarda Bakanlık temsilcisinin bulundurulması zorunludur:</w:t>
      </w:r>
    </w:p>
    <w:p w:rsidR="00D7547F" w:rsidRDefault="00D7547F" w:rsidP="00AE1F6E">
      <w:pPr>
        <w:jc w:val="both"/>
      </w:pPr>
    </w:p>
    <w:p w:rsidR="00F0743D" w:rsidRDefault="00F0743D" w:rsidP="00AE1F6E">
      <w:pPr>
        <w:jc w:val="both"/>
      </w:pPr>
      <w:proofErr w:type="gramStart"/>
      <w:r>
        <w:t xml:space="preserve">a)Kuruluş ve esas sözleşme değişikliği işlemleri Bakanlık iznine tabi olan şirketlerin bütün genel toplantılarında, diğer şirketlerde ise gündeminde, sermaye arttırılması veya azaltılması, kayıtlı sermaye sistemine geçilmesi ve kayıtlı sermaye sisteminden çıkılması, kayıtlı sermaye tavanının arttırılması veya faaliyet konusunun değiştirilmesine ilişkin esas sözleşme değişikliği ile birleşme, bölünme veya tür değişikliği konuları bulunan genel kurul </w:t>
      </w:r>
      <w:r w:rsidR="00164EBD">
        <w:t>toplantılarında.</w:t>
      </w:r>
      <w:proofErr w:type="gramEnd"/>
    </w:p>
    <w:p w:rsidR="00164EBD" w:rsidRDefault="00164EBD" w:rsidP="00AE1F6E">
      <w:pPr>
        <w:jc w:val="both"/>
      </w:pPr>
      <w:r>
        <w:t>b)Genel kurulda elektronik ortamda katılım sistemini uygulayan şirketlerin genel kurul toplantılarında.</w:t>
      </w:r>
    </w:p>
    <w:p w:rsidR="00164EBD" w:rsidRDefault="00164EBD" w:rsidP="00AE1F6E">
      <w:pPr>
        <w:jc w:val="both"/>
      </w:pPr>
      <w:r>
        <w:t>c)Yurt dışında yapılacak bütün genel kurul toplantılarında.</w:t>
      </w:r>
    </w:p>
    <w:p w:rsidR="00164EBD" w:rsidRDefault="00164EBD" w:rsidP="00164EBD">
      <w:pPr>
        <w:jc w:val="both"/>
      </w:pPr>
      <w:r>
        <w:t>ç)</w:t>
      </w:r>
      <w:r w:rsidRPr="00164EBD">
        <w:t xml:space="preserve"> </w:t>
      </w:r>
      <w:r>
        <w:t>Yurt dışında yapılacak imtiyazlı pay sahipleri özel kurul toplantılarında.</w:t>
      </w:r>
    </w:p>
    <w:p w:rsidR="00D7547F" w:rsidRDefault="00D7547F" w:rsidP="00164EBD">
      <w:pPr>
        <w:jc w:val="both"/>
      </w:pPr>
    </w:p>
    <w:p w:rsidR="00164EBD" w:rsidRDefault="00164EBD" w:rsidP="00AE1F6E">
      <w:pPr>
        <w:jc w:val="both"/>
      </w:pPr>
      <w:r w:rsidRPr="00164EBD">
        <w:rPr>
          <w:b/>
        </w:rPr>
        <w:t xml:space="preserve">  2)</w:t>
      </w:r>
      <w:r w:rsidRPr="00164EBD">
        <w:t>Birinci fıkrada sayılanların dışındaki genel kurul toplantılarında ve imtiyazlı pay sahipleri özel kurullarında Bakanlık temsilcisinin bulunması zorunlu değildir. Ancak genel kurulu toplantıya çağıranların talep etmeleri ve bu taleplerin görevlendirme makamınca uygun görülmesi halinde Bakan</w:t>
      </w:r>
      <w:r>
        <w:t>lık temsilcisi görevlendirilir</w:t>
      </w:r>
      <w:r w:rsidR="00C02182">
        <w:rPr>
          <w:rStyle w:val="DipnotBavurusu"/>
        </w:rPr>
        <w:footnoteReference w:id="1"/>
      </w:r>
      <w:r>
        <w:t xml:space="preserve">. </w:t>
      </w:r>
    </w:p>
    <w:p w:rsidR="0063352D" w:rsidRDefault="0063352D" w:rsidP="00AE1F6E">
      <w:pPr>
        <w:jc w:val="both"/>
      </w:pPr>
    </w:p>
    <w:p w:rsidR="0063352D" w:rsidRDefault="0063352D" w:rsidP="00AE1F6E">
      <w:pPr>
        <w:jc w:val="both"/>
      </w:pPr>
      <w:r>
        <w:t>*Kuruluşu ve ana sözleşme değişikliği bakanlık iznine tabi Anonim Şirketler şunlardır:</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Bankalar,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Finansal kiralama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proofErr w:type="spellStart"/>
      <w:r w:rsidRPr="0063352D">
        <w:rPr>
          <w:rFonts w:ascii="Verdana" w:hAnsi="Verdana"/>
          <w:color w:val="1B1B1B"/>
          <w:sz w:val="20"/>
          <w:szCs w:val="20"/>
        </w:rPr>
        <w:t>Faktoring</w:t>
      </w:r>
      <w:proofErr w:type="spellEnd"/>
      <w:r w:rsidRPr="0063352D">
        <w:rPr>
          <w:rFonts w:ascii="Verdana" w:hAnsi="Verdana"/>
          <w:color w:val="1B1B1B"/>
          <w:sz w:val="20"/>
          <w:szCs w:val="20"/>
        </w:rPr>
        <w:t>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Tüketici finansmanı ve kart hizmetleri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Varlık yönetim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Sigorta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Anonim şirket şeklinde kurulan holdingler,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Döviz büfesi işleten şirketler,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Umumi mağazacılıkla uğraşan şirketler,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Tarım ürünleri lisanslı depoculuk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Ürün ihtisas borsası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Bağımsız denetim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Gözetim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Teknoloji geliştirme bölgesi yönetici şirketleri,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 xml:space="preserve">Sermaye Piyasası Kanununa tabi şirketler </w:t>
      </w:r>
      <w:proofErr w:type="gramStart"/>
      <w:r w:rsidRPr="0063352D">
        <w:rPr>
          <w:rFonts w:ascii="Verdana" w:hAnsi="Verdana"/>
          <w:color w:val="1B1B1B"/>
          <w:sz w:val="20"/>
          <w:szCs w:val="20"/>
        </w:rPr>
        <w:t>(</w:t>
      </w:r>
      <w:proofErr w:type="gramEnd"/>
      <w:r w:rsidRPr="0063352D">
        <w:rPr>
          <w:rFonts w:ascii="Verdana" w:hAnsi="Verdana"/>
          <w:color w:val="1B1B1B"/>
          <w:sz w:val="20"/>
          <w:szCs w:val="20"/>
        </w:rPr>
        <w:t>Kayıtlı sermaye sistemine kabul eden halka açık anonim şirketlerin kayıtlı sermaye tavanı içinde yapacakları sermaye artışlarında Bakanlık izni aranmamaktadır. )</w:t>
      </w:r>
    </w:p>
    <w:p w:rsidR="0063352D" w:rsidRPr="0063352D" w:rsidRDefault="0063352D" w:rsidP="0063352D">
      <w:pPr>
        <w:numPr>
          <w:ilvl w:val="0"/>
          <w:numId w:val="2"/>
        </w:numPr>
        <w:shd w:val="clear" w:color="auto" w:fill="FBF9F2"/>
        <w:spacing w:line="336" w:lineRule="atLeast"/>
        <w:ind w:left="270"/>
        <w:rPr>
          <w:rFonts w:ascii="Verdana" w:hAnsi="Verdana"/>
          <w:color w:val="1B1B1B"/>
          <w:sz w:val="21"/>
          <w:szCs w:val="21"/>
        </w:rPr>
      </w:pPr>
      <w:r w:rsidRPr="0063352D">
        <w:rPr>
          <w:rFonts w:ascii="Verdana" w:hAnsi="Verdana"/>
          <w:color w:val="1B1B1B"/>
          <w:sz w:val="20"/>
          <w:szCs w:val="20"/>
        </w:rPr>
        <w:t>Serbest bölge kurucusu ve işleticisi şirketler</w:t>
      </w:r>
    </w:p>
    <w:p w:rsidR="00E0042F" w:rsidRDefault="00E0042F" w:rsidP="00AE1F6E">
      <w:pPr>
        <w:jc w:val="both"/>
      </w:pPr>
    </w:p>
    <w:p w:rsidR="00AE1F6E" w:rsidRDefault="00AE1F6E" w:rsidP="00AE1F6E">
      <w:pPr>
        <w:jc w:val="both"/>
      </w:pPr>
    </w:p>
    <w:p w:rsidR="00AE1F6E" w:rsidRDefault="00AE1F6E" w:rsidP="00660927">
      <w:pPr>
        <w:jc w:val="both"/>
      </w:pPr>
    </w:p>
    <w:sectPr w:rsidR="00AE1F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ECD" w:rsidRDefault="00694ECD" w:rsidP="00C02182">
      <w:r>
        <w:separator/>
      </w:r>
    </w:p>
  </w:endnote>
  <w:endnote w:type="continuationSeparator" w:id="0">
    <w:p w:rsidR="00694ECD" w:rsidRDefault="00694ECD"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ECD" w:rsidRDefault="00694ECD" w:rsidP="00C02182">
      <w:r>
        <w:separator/>
      </w:r>
    </w:p>
  </w:footnote>
  <w:footnote w:type="continuationSeparator" w:id="0">
    <w:p w:rsidR="00694ECD" w:rsidRDefault="00694ECD" w:rsidP="00C02182">
      <w:r>
        <w:continuationSeparator/>
      </w:r>
    </w:p>
  </w:footnote>
  <w:footnote w:id="1">
    <w:p w:rsidR="00C02182" w:rsidRDefault="00C02182">
      <w:pPr>
        <w:pStyle w:val="DipnotMetni"/>
      </w:pPr>
      <w:r>
        <w:rPr>
          <w:rStyle w:val="DipnotBavurusu"/>
        </w:rPr>
        <w:footnoteRef/>
      </w:r>
      <w:r w:rsidR="00374FBF">
        <w:t>Bakanlık Temsilcisini Bulundurma Zorunluluğuna Hakkında Bkz.</w:t>
      </w:r>
      <w:r>
        <w:t xml:space="preserve"> Türk Ticaret Kanunu İkinci</w:t>
      </w:r>
      <w:r w:rsidR="007C275C">
        <w:t>l</w:t>
      </w:r>
      <w:r>
        <w:t xml:space="preserve"> Mevzuatı </w:t>
      </w:r>
      <w:r w:rsidR="007C275C">
        <w:t>sayfa:23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221F1"/>
    <w:rsid w:val="00044FE3"/>
    <w:rsid w:val="00121A25"/>
    <w:rsid w:val="00164EBD"/>
    <w:rsid w:val="001978AF"/>
    <w:rsid w:val="001D249F"/>
    <w:rsid w:val="00255DD8"/>
    <w:rsid w:val="00267686"/>
    <w:rsid w:val="00285D94"/>
    <w:rsid w:val="0034260B"/>
    <w:rsid w:val="00374FBF"/>
    <w:rsid w:val="004A4399"/>
    <w:rsid w:val="004E6B62"/>
    <w:rsid w:val="00512D87"/>
    <w:rsid w:val="00531029"/>
    <w:rsid w:val="005A0B91"/>
    <w:rsid w:val="005D1024"/>
    <w:rsid w:val="005E7993"/>
    <w:rsid w:val="0060323F"/>
    <w:rsid w:val="0063352D"/>
    <w:rsid w:val="00660927"/>
    <w:rsid w:val="00694ECD"/>
    <w:rsid w:val="006B5168"/>
    <w:rsid w:val="007179B1"/>
    <w:rsid w:val="007C275C"/>
    <w:rsid w:val="007E60FC"/>
    <w:rsid w:val="007F5031"/>
    <w:rsid w:val="00803EA1"/>
    <w:rsid w:val="008310AF"/>
    <w:rsid w:val="00872479"/>
    <w:rsid w:val="00952A6D"/>
    <w:rsid w:val="00964631"/>
    <w:rsid w:val="00975532"/>
    <w:rsid w:val="009F54CE"/>
    <w:rsid w:val="00A243C4"/>
    <w:rsid w:val="00A9150B"/>
    <w:rsid w:val="00AE1F6E"/>
    <w:rsid w:val="00B27174"/>
    <w:rsid w:val="00B45B17"/>
    <w:rsid w:val="00C02182"/>
    <w:rsid w:val="00C76A0D"/>
    <w:rsid w:val="00D60AD5"/>
    <w:rsid w:val="00D7547F"/>
    <w:rsid w:val="00E0042F"/>
    <w:rsid w:val="00E20070"/>
    <w:rsid w:val="00E25B37"/>
    <w:rsid w:val="00E25CDE"/>
    <w:rsid w:val="00EB3002"/>
    <w:rsid w:val="00F0743D"/>
    <w:rsid w:val="00F670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sedat.oguz\AppData\Local\Microsoft\Windows\Temporary%20Internet%20Files\Content.Outlook\43SI0TSI\Haz&#305;r%20Bulunanlar%20YK%20Baskan&#305;%20yetkilendirme%20yaz&#305;s&#305;%20&#246;rne&#287;i.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E75F5-D21A-4D6E-ACA4-8C5064475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1573</Words>
  <Characters>8968</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Sedat OGUZ</cp:lastModifiedBy>
  <cp:revision>6</cp:revision>
  <cp:lastPrinted>2015-09-16T13:21:00Z</cp:lastPrinted>
  <dcterms:created xsi:type="dcterms:W3CDTF">2016-02-24T13:19:00Z</dcterms:created>
  <dcterms:modified xsi:type="dcterms:W3CDTF">2016-02-24T13:41:00Z</dcterms:modified>
</cp:coreProperties>
</file>